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48B1E">
      <w:pPr>
        <w:rPr>
          <w:rFonts w:hint="eastAsia" w:ascii="宋体" w:hAnsi="宋体" w:eastAsia="宋体" w:cs="宋体"/>
          <w:sz w:val="80"/>
          <w:szCs w:val="80"/>
          <w:highlight w:val="none"/>
        </w:rPr>
      </w:pPr>
    </w:p>
    <w:p w14:paraId="3F9AF7B6">
      <w:pPr>
        <w:ind w:firstLine="539"/>
        <w:jc w:val="center"/>
        <w:rPr>
          <w:rFonts w:hint="eastAsia" w:ascii="宋体" w:hAnsi="宋体" w:eastAsia="宋体" w:cs="宋体"/>
          <w:sz w:val="84"/>
          <w:szCs w:val="84"/>
          <w:highlight w:val="none"/>
        </w:rPr>
      </w:pPr>
      <w:r>
        <w:rPr>
          <w:rFonts w:hint="eastAsia" w:ascii="宋体" w:hAnsi="宋体" w:eastAsia="宋体" w:cs="宋体"/>
          <w:color w:val="auto"/>
          <w:sz w:val="84"/>
          <w:highlight w:val="none"/>
        </w:rPr>
        <w:drawing>
          <wp:inline distT="0" distB="0" distL="114300" distR="114300">
            <wp:extent cx="1495425" cy="1438910"/>
            <wp:effectExtent l="0" t="0" r="3175" b="8890"/>
            <wp:docPr id="2" name="图片 1" descr="E:\北涛建设工程咨询有限公司\公司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北涛建设工程咨询有限公司\公司LOGO.png"/>
                    <pic:cNvPicPr>
                      <a:picLocks noChangeAspect="1"/>
                    </pic:cNvPicPr>
                  </pic:nvPicPr>
                  <pic:blipFill>
                    <a:blip r:embed="rId17"/>
                    <a:stretch>
                      <a:fillRect/>
                    </a:stretch>
                  </pic:blipFill>
                  <pic:spPr>
                    <a:xfrm>
                      <a:off x="0" y="0"/>
                      <a:ext cx="1495425" cy="1438910"/>
                    </a:xfrm>
                    <a:prstGeom prst="rect">
                      <a:avLst/>
                    </a:prstGeom>
                    <a:noFill/>
                    <a:ln>
                      <a:noFill/>
                    </a:ln>
                  </pic:spPr>
                </pic:pic>
              </a:graphicData>
            </a:graphic>
          </wp:inline>
        </w:drawing>
      </w:r>
    </w:p>
    <w:p w14:paraId="3AE68C06">
      <w:pPr>
        <w:ind w:firstLine="539"/>
        <w:jc w:val="center"/>
        <w:rPr>
          <w:rFonts w:hint="eastAsia" w:ascii="宋体" w:hAnsi="宋体" w:eastAsia="宋体" w:cs="宋体"/>
          <w:sz w:val="84"/>
          <w:szCs w:val="84"/>
          <w:highlight w:val="none"/>
        </w:rPr>
      </w:pPr>
      <w:r>
        <w:rPr>
          <w:rFonts w:hint="eastAsia" w:ascii="宋体" w:hAnsi="宋体" w:eastAsia="宋体" w:cs="宋体"/>
          <w:sz w:val="84"/>
          <w:szCs w:val="84"/>
          <w:highlight w:val="none"/>
        </w:rPr>
        <w:t>竞争性谈判文件</w:t>
      </w:r>
    </w:p>
    <w:p w14:paraId="6B2B0647">
      <w:pPr>
        <w:ind w:firstLine="3520" w:firstLineChars="1100"/>
        <w:rPr>
          <w:rFonts w:hint="eastAsia" w:ascii="宋体" w:hAnsi="宋体" w:eastAsia="宋体" w:cs="宋体"/>
          <w:sz w:val="32"/>
          <w:szCs w:val="32"/>
          <w:highlight w:val="none"/>
        </w:rPr>
      </w:pPr>
    </w:p>
    <w:p w14:paraId="2C36E5C0">
      <w:pPr>
        <w:ind w:firstLine="3520" w:firstLineChars="1100"/>
        <w:rPr>
          <w:rFonts w:hint="eastAsia" w:ascii="宋体" w:hAnsi="宋体" w:eastAsia="宋体" w:cs="宋体"/>
          <w:sz w:val="32"/>
          <w:szCs w:val="32"/>
          <w:highlight w:val="none"/>
        </w:rPr>
      </w:pPr>
    </w:p>
    <w:p w14:paraId="127FE752">
      <w:pPr>
        <w:ind w:firstLine="1920" w:firstLineChars="400"/>
        <w:rPr>
          <w:rFonts w:hint="eastAsia" w:ascii="宋体" w:hAnsi="宋体" w:eastAsia="宋体" w:cs="宋体"/>
          <w:sz w:val="48"/>
          <w:szCs w:val="48"/>
          <w:highlight w:val="none"/>
        </w:rPr>
      </w:pPr>
    </w:p>
    <w:p w14:paraId="7ADC6057">
      <w:pPr>
        <w:ind w:firstLine="1920" w:firstLineChars="400"/>
        <w:rPr>
          <w:rFonts w:hint="eastAsia" w:ascii="宋体" w:hAnsi="宋体" w:eastAsia="宋体" w:cs="宋体"/>
          <w:sz w:val="48"/>
          <w:szCs w:val="48"/>
          <w:highlight w:val="none"/>
        </w:rPr>
      </w:pPr>
    </w:p>
    <w:p w14:paraId="028F8B02">
      <w:pPr>
        <w:rPr>
          <w:rFonts w:hint="eastAsia" w:ascii="宋体" w:hAnsi="宋体" w:eastAsia="宋体" w:cs="宋体"/>
          <w:sz w:val="48"/>
          <w:szCs w:val="48"/>
          <w:highlight w:val="none"/>
        </w:rPr>
      </w:pPr>
    </w:p>
    <w:p w14:paraId="642001F5">
      <w:pPr>
        <w:pStyle w:val="37"/>
        <w:spacing w:line="360" w:lineRule="auto"/>
        <w:ind w:left="2883" w:leftChars="608" w:hanging="1606" w:hangingChars="500"/>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科技孵化园污水提升泵站设备采购</w:t>
      </w:r>
    </w:p>
    <w:p w14:paraId="6241E01B">
      <w:pPr>
        <w:pStyle w:val="37"/>
        <w:spacing w:line="360" w:lineRule="auto"/>
        <w:ind w:left="2883" w:leftChars="608" w:hanging="1606" w:hangingChars="500"/>
        <w:rPr>
          <w:rFonts w:hint="eastAsia" w:ascii="宋体" w:hAnsi="宋体" w:eastAsia="宋体" w:cs="宋体"/>
          <w:highlight w:val="none"/>
          <w:lang w:eastAsia="zh-CN"/>
        </w:rPr>
      </w:pPr>
      <w:r>
        <w:rPr>
          <w:rFonts w:hint="eastAsia" w:ascii="宋体" w:hAnsi="宋体" w:eastAsia="宋体" w:cs="宋体"/>
          <w:highlight w:val="none"/>
        </w:rPr>
        <w:t>项目编号：</w:t>
      </w:r>
      <w:r>
        <w:rPr>
          <w:rFonts w:hint="eastAsia" w:ascii="宋体" w:hAnsi="宋体" w:eastAsia="宋体" w:cs="宋体"/>
          <w:highlight w:val="none"/>
          <w:lang w:eastAsia="zh-CN"/>
        </w:rPr>
        <w:t>JXBT2025DX012</w:t>
      </w:r>
    </w:p>
    <w:p w14:paraId="23D25E55">
      <w:pPr>
        <w:tabs>
          <w:tab w:val="left" w:pos="567"/>
        </w:tabs>
        <w:rPr>
          <w:rFonts w:hint="eastAsia" w:ascii="宋体" w:hAnsi="宋体" w:eastAsia="宋体" w:cs="宋体"/>
          <w:sz w:val="48"/>
          <w:highlight w:val="none"/>
        </w:rPr>
      </w:pPr>
    </w:p>
    <w:p w14:paraId="2A5A398A">
      <w:pPr>
        <w:tabs>
          <w:tab w:val="left" w:pos="567"/>
        </w:tabs>
        <w:rPr>
          <w:rFonts w:hint="eastAsia" w:ascii="宋体" w:hAnsi="宋体" w:eastAsia="宋体" w:cs="宋体"/>
          <w:sz w:val="48"/>
          <w:highlight w:val="none"/>
        </w:rPr>
      </w:pPr>
    </w:p>
    <w:p w14:paraId="7D05909B">
      <w:pPr>
        <w:tabs>
          <w:tab w:val="left" w:pos="567"/>
        </w:tabs>
        <w:rPr>
          <w:rFonts w:hint="eastAsia" w:ascii="宋体" w:hAnsi="宋体" w:eastAsia="宋体" w:cs="宋体"/>
          <w:sz w:val="48"/>
          <w:highlight w:val="none"/>
        </w:rPr>
      </w:pPr>
    </w:p>
    <w:p w14:paraId="01EE197A">
      <w:pPr>
        <w:tabs>
          <w:tab w:val="left" w:pos="567"/>
        </w:tabs>
        <w:rPr>
          <w:rFonts w:hint="eastAsia" w:ascii="宋体" w:hAnsi="宋体" w:eastAsia="宋体" w:cs="宋体"/>
          <w:sz w:val="48"/>
          <w:highlight w:val="none"/>
        </w:rPr>
      </w:pPr>
    </w:p>
    <w:p w14:paraId="4155F2F0">
      <w:pPr>
        <w:tabs>
          <w:tab w:val="left" w:pos="567"/>
        </w:tabs>
        <w:rPr>
          <w:rFonts w:hint="eastAsia" w:ascii="宋体" w:hAnsi="宋体" w:eastAsia="宋体" w:cs="宋体"/>
          <w:sz w:val="48"/>
          <w:highlight w:val="none"/>
        </w:rPr>
      </w:pPr>
    </w:p>
    <w:p w14:paraId="5F1A8EAC">
      <w:pPr>
        <w:pStyle w:val="38"/>
        <w:rPr>
          <w:rFonts w:hint="eastAsia" w:ascii="宋体" w:hAnsi="宋体" w:eastAsia="宋体" w:cs="宋体"/>
          <w:highlight w:val="none"/>
          <w:lang w:eastAsia="zh-CN"/>
        </w:rPr>
      </w:pPr>
      <w:r>
        <w:rPr>
          <w:rFonts w:hint="eastAsia" w:ascii="宋体" w:hAnsi="宋体" w:eastAsia="宋体" w:cs="宋体"/>
          <w:highlight w:val="none"/>
          <w:lang w:eastAsia="zh-CN"/>
        </w:rPr>
        <w:t>江西北涛建设工程咨询有限公司</w:t>
      </w:r>
    </w:p>
    <w:p w14:paraId="3BB0D5C5">
      <w:pPr>
        <w:spacing w:line="480" w:lineRule="auto"/>
        <w:jc w:val="center"/>
        <w:rPr>
          <w:rFonts w:hint="eastAsia" w:ascii="宋体" w:hAnsi="宋体" w:eastAsia="宋体" w:cs="宋体"/>
          <w:bCs/>
          <w:sz w:val="52"/>
          <w:highlight w:val="none"/>
        </w:rPr>
      </w:pPr>
      <w:r>
        <w:rPr>
          <w:rFonts w:hint="eastAsia" w:ascii="宋体" w:hAnsi="宋体" w:eastAsia="宋体" w:cs="宋体"/>
          <w:b/>
          <w:sz w:val="36"/>
          <w:highlight w:val="none"/>
        </w:rPr>
        <w:t xml:space="preserve">中国 </w:t>
      </w:r>
      <w:r>
        <w:rPr>
          <w:rFonts w:hint="eastAsia" w:ascii="宋体" w:hAnsi="宋体" w:eastAsia="宋体" w:cs="宋体"/>
          <w:b/>
          <w:sz w:val="24"/>
          <w:highlight w:val="none"/>
        </w:rPr>
        <w:t>.</w:t>
      </w:r>
      <w:r>
        <w:rPr>
          <w:rFonts w:hint="eastAsia" w:ascii="宋体" w:hAnsi="宋体" w:eastAsia="宋体" w:cs="宋体"/>
          <w:b/>
          <w:sz w:val="36"/>
          <w:highlight w:val="none"/>
        </w:rPr>
        <w:t xml:space="preserve"> 东乡</w:t>
      </w:r>
      <w:r>
        <w:rPr>
          <w:rFonts w:hint="eastAsia" w:ascii="宋体" w:hAnsi="宋体" w:eastAsia="宋体" w:cs="宋体"/>
          <w:highlight w:val="none"/>
        </w:rPr>
        <w:br w:type="page"/>
      </w:r>
      <w:r>
        <w:rPr>
          <w:rFonts w:hint="eastAsia" w:ascii="宋体" w:hAnsi="宋体" w:eastAsia="宋体" w:cs="宋体"/>
          <w:bCs/>
          <w:sz w:val="52"/>
          <w:highlight w:val="none"/>
        </w:rPr>
        <w:t>目录</w:t>
      </w:r>
    </w:p>
    <w:p w14:paraId="43BBAAD7">
      <w:pPr>
        <w:pStyle w:val="13"/>
        <w:tabs>
          <w:tab w:val="right" w:leader="dot" w:pos="9923"/>
        </w:tabs>
      </w:pPr>
      <w:r>
        <w:rPr>
          <w:rFonts w:hint="eastAsia" w:ascii="宋体" w:hAnsi="宋体" w:eastAsia="宋体" w:cs="宋体"/>
          <w:b/>
          <w:highlight w:val="none"/>
          <w:shd w:val="pct10" w:color="auto" w:fill="FFFFFF"/>
        </w:rPr>
        <w:fldChar w:fldCharType="begin"/>
      </w:r>
      <w:r>
        <w:rPr>
          <w:rFonts w:hint="eastAsia" w:ascii="宋体" w:hAnsi="宋体" w:eastAsia="宋体" w:cs="宋体"/>
          <w:b/>
          <w:highlight w:val="none"/>
          <w:shd w:val="pct10" w:color="auto" w:fill="FFFFFF"/>
        </w:rPr>
        <w:instrText xml:space="preserve"> TOC \o "1-3" \h \z \u </w:instrText>
      </w:r>
      <w:r>
        <w:rPr>
          <w:rFonts w:hint="eastAsia" w:ascii="宋体" w:hAnsi="宋体" w:eastAsia="宋体" w:cs="宋体"/>
          <w:b/>
          <w:highlight w:val="none"/>
          <w:shd w:val="pct10" w:color="auto" w:fill="FFFFFF"/>
        </w:rPr>
        <w:fldChar w:fldCharType="separate"/>
      </w: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_Toc1032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第一章  谈判邀请</w:t>
      </w:r>
      <w:r>
        <w:tab/>
      </w:r>
      <w:r>
        <w:fldChar w:fldCharType="begin"/>
      </w:r>
      <w:r>
        <w:instrText xml:space="preserve"> PAGEREF _Toc1032 \h </w:instrText>
      </w:r>
      <w:r>
        <w:fldChar w:fldCharType="separate"/>
      </w:r>
      <w:r>
        <w:t>3</w:t>
      </w:r>
      <w:r>
        <w:fldChar w:fldCharType="end"/>
      </w:r>
      <w:r>
        <w:rPr>
          <w:rFonts w:hint="eastAsia" w:ascii="宋体" w:hAnsi="宋体" w:eastAsia="宋体" w:cs="宋体"/>
          <w:highlight w:val="none"/>
          <w:shd w:val="pct10" w:color="auto" w:fill="FFFFFF"/>
        </w:rPr>
        <w:fldChar w:fldCharType="end"/>
      </w:r>
    </w:p>
    <w:p w14:paraId="4808AEFA">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_Toc10654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一、项目基本情况</w:t>
      </w:r>
      <w:r>
        <w:tab/>
      </w:r>
      <w:r>
        <w:fldChar w:fldCharType="begin"/>
      </w:r>
      <w:r>
        <w:instrText xml:space="preserve"> PAGEREF _Toc10654 \h </w:instrText>
      </w:r>
      <w:r>
        <w:fldChar w:fldCharType="separate"/>
      </w:r>
      <w:r>
        <w:t>3</w:t>
      </w:r>
      <w:r>
        <w:fldChar w:fldCharType="end"/>
      </w:r>
      <w:r>
        <w:rPr>
          <w:rFonts w:hint="eastAsia" w:ascii="宋体" w:hAnsi="宋体" w:eastAsia="宋体" w:cs="宋体"/>
          <w:highlight w:val="none"/>
          <w:shd w:val="pct10" w:color="auto" w:fill="FFFFFF"/>
        </w:rPr>
        <w:fldChar w:fldCharType="end"/>
      </w:r>
    </w:p>
    <w:p w14:paraId="2517B0A8">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_Toc9982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二、申请人的资格要求</w:t>
      </w:r>
      <w:r>
        <w:tab/>
      </w:r>
      <w:r>
        <w:fldChar w:fldCharType="begin"/>
      </w:r>
      <w:r>
        <w:instrText xml:space="preserve"> PAGEREF _Toc9982 \h </w:instrText>
      </w:r>
      <w:r>
        <w:fldChar w:fldCharType="separate"/>
      </w:r>
      <w:r>
        <w:t>3</w:t>
      </w:r>
      <w:r>
        <w:fldChar w:fldCharType="end"/>
      </w:r>
      <w:r>
        <w:rPr>
          <w:rFonts w:hint="eastAsia" w:ascii="宋体" w:hAnsi="宋体" w:eastAsia="宋体" w:cs="宋体"/>
          <w:highlight w:val="none"/>
          <w:shd w:val="pct10" w:color="auto" w:fill="FFFFFF"/>
        </w:rPr>
        <w:fldChar w:fldCharType="end"/>
      </w:r>
    </w:p>
    <w:p w14:paraId="2F688F69">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_Toc30441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三、竞争性谈判文件的获取时间：</w:t>
      </w:r>
      <w:r>
        <w:tab/>
      </w:r>
      <w:r>
        <w:fldChar w:fldCharType="begin"/>
      </w:r>
      <w:r>
        <w:instrText xml:space="preserve"> PAGEREF _Toc30441 \h </w:instrText>
      </w:r>
      <w:r>
        <w:fldChar w:fldCharType="separate"/>
      </w:r>
      <w:r>
        <w:t>4</w:t>
      </w:r>
      <w:r>
        <w:fldChar w:fldCharType="end"/>
      </w:r>
      <w:r>
        <w:rPr>
          <w:rFonts w:hint="eastAsia" w:ascii="宋体" w:hAnsi="宋体" w:eastAsia="宋体" w:cs="宋体"/>
          <w:highlight w:val="none"/>
          <w:shd w:val="pct10" w:color="auto" w:fill="FFFFFF"/>
        </w:rPr>
        <w:fldChar w:fldCharType="end"/>
      </w:r>
    </w:p>
    <w:p w14:paraId="54D35752">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_Toc14264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四、提交响应文件截止时间、谈判时间和地点：</w:t>
      </w:r>
      <w:r>
        <w:tab/>
      </w:r>
      <w:r>
        <w:fldChar w:fldCharType="begin"/>
      </w:r>
      <w:r>
        <w:instrText xml:space="preserve"> PAGEREF _Toc14264 \h </w:instrText>
      </w:r>
      <w:r>
        <w:fldChar w:fldCharType="separate"/>
      </w:r>
      <w:r>
        <w:t>4</w:t>
      </w:r>
      <w:r>
        <w:fldChar w:fldCharType="end"/>
      </w:r>
      <w:r>
        <w:rPr>
          <w:rFonts w:hint="eastAsia" w:ascii="宋体" w:hAnsi="宋体" w:eastAsia="宋体" w:cs="宋体"/>
          <w:highlight w:val="none"/>
          <w:shd w:val="pct10" w:color="auto" w:fill="FFFFFF"/>
        </w:rPr>
        <w:fldChar w:fldCharType="end"/>
      </w:r>
    </w:p>
    <w:p w14:paraId="01234E19">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_Toc2440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五、公告期限</w:t>
      </w:r>
      <w:r>
        <w:tab/>
      </w:r>
      <w:r>
        <w:fldChar w:fldCharType="begin"/>
      </w:r>
      <w:r>
        <w:instrText xml:space="preserve"> PAGEREF _Toc2440 \h </w:instrText>
      </w:r>
      <w:r>
        <w:fldChar w:fldCharType="separate"/>
      </w:r>
      <w:r>
        <w:t>4</w:t>
      </w:r>
      <w:r>
        <w:fldChar w:fldCharType="end"/>
      </w:r>
      <w:r>
        <w:rPr>
          <w:rFonts w:hint="eastAsia" w:ascii="宋体" w:hAnsi="宋体" w:eastAsia="宋体" w:cs="宋体"/>
          <w:highlight w:val="none"/>
          <w:shd w:val="pct10" w:color="auto" w:fill="FFFFFF"/>
        </w:rPr>
        <w:fldChar w:fldCharType="end"/>
      </w:r>
    </w:p>
    <w:p w14:paraId="6016C651">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_Toc9616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六、对本次采购提出询问，请按以下方式联系</w:t>
      </w:r>
      <w:r>
        <w:tab/>
      </w:r>
      <w:r>
        <w:fldChar w:fldCharType="begin"/>
      </w:r>
      <w:r>
        <w:instrText xml:space="preserve"> PAGEREF _Toc9616 \h </w:instrText>
      </w:r>
      <w:r>
        <w:fldChar w:fldCharType="separate"/>
      </w:r>
      <w:r>
        <w:t>4</w:t>
      </w:r>
      <w:r>
        <w:fldChar w:fldCharType="end"/>
      </w:r>
      <w:r>
        <w:rPr>
          <w:rFonts w:hint="eastAsia" w:ascii="宋体" w:hAnsi="宋体" w:eastAsia="宋体" w:cs="宋体"/>
          <w:highlight w:val="none"/>
          <w:shd w:val="pct10" w:color="auto" w:fill="FFFFFF"/>
        </w:rPr>
        <w:fldChar w:fldCharType="end"/>
      </w:r>
    </w:p>
    <w:p w14:paraId="3F59E3C4">
      <w:pPr>
        <w:pStyle w:val="13"/>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_Toc29314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第二章  供应商须知</w:t>
      </w:r>
      <w:r>
        <w:tab/>
      </w:r>
      <w:r>
        <w:fldChar w:fldCharType="begin"/>
      </w:r>
      <w:r>
        <w:instrText xml:space="preserve"> PAGEREF _Toc29314 \h </w:instrText>
      </w:r>
      <w:r>
        <w:fldChar w:fldCharType="separate"/>
      </w:r>
      <w:r>
        <w:t>5</w:t>
      </w:r>
      <w:r>
        <w:fldChar w:fldCharType="end"/>
      </w:r>
      <w:r>
        <w:rPr>
          <w:rFonts w:hint="eastAsia" w:ascii="宋体" w:hAnsi="宋体" w:eastAsia="宋体" w:cs="宋体"/>
          <w:highlight w:val="none"/>
          <w:shd w:val="pct10" w:color="auto" w:fill="FFFFFF"/>
        </w:rPr>
        <w:fldChar w:fldCharType="end"/>
      </w:r>
    </w:p>
    <w:p w14:paraId="54E5AF2D">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_Toc26679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一、供应商须知前附表</w:t>
      </w:r>
      <w:r>
        <w:tab/>
      </w:r>
      <w:r>
        <w:fldChar w:fldCharType="begin"/>
      </w:r>
      <w:r>
        <w:instrText xml:space="preserve"> PAGEREF _Toc26679 \h </w:instrText>
      </w:r>
      <w:r>
        <w:fldChar w:fldCharType="separate"/>
      </w:r>
      <w:r>
        <w:t>5</w:t>
      </w:r>
      <w:r>
        <w:fldChar w:fldCharType="end"/>
      </w:r>
      <w:r>
        <w:rPr>
          <w:rFonts w:hint="eastAsia" w:ascii="宋体" w:hAnsi="宋体" w:eastAsia="宋体" w:cs="宋体"/>
          <w:highlight w:val="none"/>
          <w:shd w:val="pct10" w:color="auto" w:fill="FFFFFF"/>
        </w:rPr>
        <w:fldChar w:fldCharType="end"/>
      </w:r>
    </w:p>
    <w:p w14:paraId="5882CA51">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_Toc29287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二、说明</w:t>
      </w:r>
      <w:r>
        <w:tab/>
      </w:r>
      <w:r>
        <w:fldChar w:fldCharType="begin"/>
      </w:r>
      <w:r>
        <w:instrText xml:space="preserve"> PAGEREF _Toc29287 \h </w:instrText>
      </w:r>
      <w:r>
        <w:fldChar w:fldCharType="separate"/>
      </w:r>
      <w:r>
        <w:t>7</w:t>
      </w:r>
      <w:r>
        <w:fldChar w:fldCharType="end"/>
      </w:r>
      <w:r>
        <w:rPr>
          <w:rFonts w:hint="eastAsia" w:ascii="宋体" w:hAnsi="宋体" w:eastAsia="宋体" w:cs="宋体"/>
          <w:highlight w:val="none"/>
          <w:shd w:val="pct10" w:color="auto" w:fill="FFFFFF"/>
        </w:rPr>
        <w:fldChar w:fldCharType="end"/>
      </w:r>
    </w:p>
    <w:p w14:paraId="20D05E6B">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_Toc20254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三、谈判文件</w:t>
      </w:r>
      <w:r>
        <w:tab/>
      </w:r>
      <w:r>
        <w:fldChar w:fldCharType="begin"/>
      </w:r>
      <w:r>
        <w:instrText xml:space="preserve"> PAGEREF _Toc20254 \h </w:instrText>
      </w:r>
      <w:r>
        <w:fldChar w:fldCharType="separate"/>
      </w:r>
      <w:r>
        <w:t>7</w:t>
      </w:r>
      <w:r>
        <w:fldChar w:fldCharType="end"/>
      </w:r>
      <w:r>
        <w:rPr>
          <w:rFonts w:hint="eastAsia" w:ascii="宋体" w:hAnsi="宋体" w:eastAsia="宋体" w:cs="宋体"/>
          <w:highlight w:val="none"/>
          <w:shd w:val="pct10" w:color="auto" w:fill="FFFFFF"/>
        </w:rPr>
        <w:fldChar w:fldCharType="end"/>
      </w:r>
    </w:p>
    <w:p w14:paraId="121F80D5">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_Toc20371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四、响应文件的编制</w:t>
      </w:r>
      <w:r>
        <w:tab/>
      </w:r>
      <w:r>
        <w:fldChar w:fldCharType="begin"/>
      </w:r>
      <w:r>
        <w:instrText xml:space="preserve"> PAGEREF _Toc20371 \h </w:instrText>
      </w:r>
      <w:r>
        <w:fldChar w:fldCharType="separate"/>
      </w:r>
      <w:r>
        <w:t>8</w:t>
      </w:r>
      <w:r>
        <w:fldChar w:fldCharType="end"/>
      </w:r>
      <w:r>
        <w:rPr>
          <w:rFonts w:hint="eastAsia" w:ascii="宋体" w:hAnsi="宋体" w:eastAsia="宋体" w:cs="宋体"/>
          <w:highlight w:val="none"/>
          <w:shd w:val="pct10" w:color="auto" w:fill="FFFFFF"/>
        </w:rPr>
        <w:fldChar w:fldCharType="end"/>
      </w:r>
    </w:p>
    <w:p w14:paraId="0E50E02C">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_Toc12567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五、响应文件的递交</w:t>
      </w:r>
      <w:r>
        <w:tab/>
      </w:r>
      <w:r>
        <w:fldChar w:fldCharType="begin"/>
      </w:r>
      <w:r>
        <w:instrText xml:space="preserve"> PAGEREF _Toc12567 \h </w:instrText>
      </w:r>
      <w:r>
        <w:fldChar w:fldCharType="separate"/>
      </w:r>
      <w:r>
        <w:t>10</w:t>
      </w:r>
      <w:r>
        <w:fldChar w:fldCharType="end"/>
      </w:r>
      <w:r>
        <w:rPr>
          <w:rFonts w:hint="eastAsia" w:ascii="宋体" w:hAnsi="宋体" w:eastAsia="宋体" w:cs="宋体"/>
          <w:highlight w:val="none"/>
          <w:shd w:val="pct10" w:color="auto" w:fill="FFFFFF"/>
        </w:rPr>
        <w:fldChar w:fldCharType="end"/>
      </w:r>
    </w:p>
    <w:p w14:paraId="3EAF0679">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_Toc12242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六、谈判</w:t>
      </w:r>
      <w:r>
        <w:tab/>
      </w:r>
      <w:r>
        <w:fldChar w:fldCharType="begin"/>
      </w:r>
      <w:r>
        <w:instrText xml:space="preserve"> PAGEREF _Toc12242 \h </w:instrText>
      </w:r>
      <w:r>
        <w:fldChar w:fldCharType="separate"/>
      </w:r>
      <w:r>
        <w:t>11</w:t>
      </w:r>
      <w:r>
        <w:fldChar w:fldCharType="end"/>
      </w:r>
      <w:r>
        <w:rPr>
          <w:rFonts w:hint="eastAsia" w:ascii="宋体" w:hAnsi="宋体" w:eastAsia="宋体" w:cs="宋体"/>
          <w:highlight w:val="none"/>
          <w:shd w:val="pct10" w:color="auto" w:fill="FFFFFF"/>
        </w:rPr>
        <w:fldChar w:fldCharType="end"/>
      </w:r>
    </w:p>
    <w:p w14:paraId="3CFB0283">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_Toc9718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七、推荐成交候选供应商、确定成交供应商</w:t>
      </w:r>
      <w:r>
        <w:tab/>
      </w:r>
      <w:r>
        <w:fldChar w:fldCharType="begin"/>
      </w:r>
      <w:r>
        <w:instrText xml:space="preserve"> PAGEREF _Toc9718 \h </w:instrText>
      </w:r>
      <w:r>
        <w:fldChar w:fldCharType="separate"/>
      </w:r>
      <w:r>
        <w:t>13</w:t>
      </w:r>
      <w:r>
        <w:fldChar w:fldCharType="end"/>
      </w:r>
      <w:r>
        <w:rPr>
          <w:rFonts w:hint="eastAsia" w:ascii="宋体" w:hAnsi="宋体" w:eastAsia="宋体" w:cs="宋体"/>
          <w:highlight w:val="none"/>
          <w:shd w:val="pct10" w:color="auto" w:fill="FFFFFF"/>
        </w:rPr>
        <w:fldChar w:fldCharType="end"/>
      </w:r>
    </w:p>
    <w:p w14:paraId="5CFA4F49">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_Toc6143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八、成交结果公告、成交通知书</w:t>
      </w:r>
      <w:r>
        <w:tab/>
      </w:r>
      <w:r>
        <w:fldChar w:fldCharType="begin"/>
      </w:r>
      <w:r>
        <w:instrText xml:space="preserve"> PAGEREF _Toc6143 \h </w:instrText>
      </w:r>
      <w:r>
        <w:fldChar w:fldCharType="separate"/>
      </w:r>
      <w:r>
        <w:t>14</w:t>
      </w:r>
      <w:r>
        <w:fldChar w:fldCharType="end"/>
      </w:r>
      <w:r>
        <w:rPr>
          <w:rFonts w:hint="eastAsia" w:ascii="宋体" w:hAnsi="宋体" w:eastAsia="宋体" w:cs="宋体"/>
          <w:highlight w:val="none"/>
          <w:shd w:val="pct10" w:color="auto" w:fill="FFFFFF"/>
        </w:rPr>
        <w:fldChar w:fldCharType="end"/>
      </w:r>
    </w:p>
    <w:p w14:paraId="00D4997E">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_Toc567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九、履约保证金、签订合同</w:t>
      </w:r>
      <w:r>
        <w:tab/>
      </w:r>
      <w:r>
        <w:fldChar w:fldCharType="begin"/>
      </w:r>
      <w:r>
        <w:instrText xml:space="preserve"> PAGEREF _Toc567 \h </w:instrText>
      </w:r>
      <w:r>
        <w:fldChar w:fldCharType="separate"/>
      </w:r>
      <w:r>
        <w:t>14</w:t>
      </w:r>
      <w:r>
        <w:fldChar w:fldCharType="end"/>
      </w:r>
      <w:r>
        <w:rPr>
          <w:rFonts w:hint="eastAsia" w:ascii="宋体" w:hAnsi="宋体" w:eastAsia="宋体" w:cs="宋体"/>
          <w:highlight w:val="none"/>
          <w:shd w:val="pct10" w:color="auto" w:fill="FFFFFF"/>
        </w:rPr>
        <w:fldChar w:fldCharType="end"/>
      </w:r>
    </w:p>
    <w:p w14:paraId="46BD0D6B">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_Toc2433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十、询问和质疑</w:t>
      </w:r>
      <w:r>
        <w:tab/>
      </w:r>
      <w:r>
        <w:fldChar w:fldCharType="begin"/>
      </w:r>
      <w:r>
        <w:instrText xml:space="preserve"> PAGEREF _Toc2433 \h </w:instrText>
      </w:r>
      <w:r>
        <w:fldChar w:fldCharType="separate"/>
      </w:r>
      <w:r>
        <w:t>15</w:t>
      </w:r>
      <w:r>
        <w:fldChar w:fldCharType="end"/>
      </w:r>
      <w:r>
        <w:rPr>
          <w:rFonts w:hint="eastAsia" w:ascii="宋体" w:hAnsi="宋体" w:eastAsia="宋体" w:cs="宋体"/>
          <w:highlight w:val="none"/>
          <w:shd w:val="pct10" w:color="auto" w:fill="FFFFFF"/>
        </w:rPr>
        <w:fldChar w:fldCharType="end"/>
      </w:r>
    </w:p>
    <w:p w14:paraId="2E9B8D0D">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_Toc19713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十一、采购代理服务费</w:t>
      </w:r>
      <w:r>
        <w:tab/>
      </w:r>
      <w:r>
        <w:fldChar w:fldCharType="begin"/>
      </w:r>
      <w:r>
        <w:instrText xml:space="preserve"> PAGEREF _Toc19713 \h </w:instrText>
      </w:r>
      <w:r>
        <w:fldChar w:fldCharType="separate"/>
      </w:r>
      <w:r>
        <w:t>16</w:t>
      </w:r>
      <w:r>
        <w:fldChar w:fldCharType="end"/>
      </w:r>
      <w:r>
        <w:rPr>
          <w:rFonts w:hint="eastAsia" w:ascii="宋体" w:hAnsi="宋体" w:eastAsia="宋体" w:cs="宋体"/>
          <w:highlight w:val="none"/>
          <w:shd w:val="pct10" w:color="auto" w:fill="FFFFFF"/>
        </w:rPr>
        <w:fldChar w:fldCharType="end"/>
      </w:r>
    </w:p>
    <w:p w14:paraId="5CA2F90A">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_Toc13530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十二、附则</w:t>
      </w:r>
      <w:r>
        <w:tab/>
      </w:r>
      <w:r>
        <w:fldChar w:fldCharType="begin"/>
      </w:r>
      <w:r>
        <w:instrText xml:space="preserve"> PAGEREF _Toc13530 \h </w:instrText>
      </w:r>
      <w:r>
        <w:fldChar w:fldCharType="separate"/>
      </w:r>
      <w:r>
        <w:t>16</w:t>
      </w:r>
      <w:r>
        <w:fldChar w:fldCharType="end"/>
      </w:r>
      <w:r>
        <w:rPr>
          <w:rFonts w:hint="eastAsia" w:ascii="宋体" w:hAnsi="宋体" w:eastAsia="宋体" w:cs="宋体"/>
          <w:highlight w:val="none"/>
          <w:shd w:val="pct10" w:color="auto" w:fill="FFFFFF"/>
        </w:rPr>
        <w:fldChar w:fldCharType="end"/>
      </w:r>
    </w:p>
    <w:p w14:paraId="3B2824A8">
      <w:pPr>
        <w:pStyle w:val="13"/>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_Toc27378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第三章　</w:t>
      </w:r>
      <w:r>
        <w:rPr>
          <w:rFonts w:hint="eastAsia" w:ascii="宋体" w:hAnsi="宋体" w:eastAsia="宋体" w:cs="宋体"/>
          <w:szCs w:val="32"/>
          <w:highlight w:val="none"/>
        </w:rPr>
        <w:t>拟签订的合同文本</w:t>
      </w:r>
      <w:r>
        <w:tab/>
      </w:r>
      <w:r>
        <w:fldChar w:fldCharType="begin"/>
      </w:r>
      <w:r>
        <w:instrText xml:space="preserve"> PAGEREF _Toc27378 \h </w:instrText>
      </w:r>
      <w:r>
        <w:fldChar w:fldCharType="separate"/>
      </w:r>
      <w:r>
        <w:t>17</w:t>
      </w:r>
      <w:r>
        <w:fldChar w:fldCharType="end"/>
      </w:r>
      <w:r>
        <w:rPr>
          <w:rFonts w:hint="eastAsia" w:ascii="宋体" w:hAnsi="宋体" w:eastAsia="宋体" w:cs="宋体"/>
          <w:highlight w:val="none"/>
          <w:shd w:val="pct10" w:color="auto" w:fill="FFFFFF"/>
        </w:rPr>
        <w:fldChar w:fldCharType="end"/>
      </w:r>
    </w:p>
    <w:p w14:paraId="3465563F">
      <w:pPr>
        <w:pStyle w:val="13"/>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_Toc12719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第四章  响应文件格式</w:t>
      </w:r>
      <w:r>
        <w:tab/>
      </w:r>
      <w:r>
        <w:fldChar w:fldCharType="begin"/>
      </w:r>
      <w:r>
        <w:instrText xml:space="preserve"> PAGEREF _Toc12719 \h </w:instrText>
      </w:r>
      <w:r>
        <w:fldChar w:fldCharType="separate"/>
      </w:r>
      <w:r>
        <w:t>21</w:t>
      </w:r>
      <w:r>
        <w:fldChar w:fldCharType="end"/>
      </w:r>
      <w:r>
        <w:rPr>
          <w:rFonts w:hint="eastAsia" w:ascii="宋体" w:hAnsi="宋体" w:eastAsia="宋体" w:cs="宋体"/>
          <w:highlight w:val="none"/>
          <w:shd w:val="pct10" w:color="auto" w:fill="FFFFFF"/>
        </w:rPr>
        <w:fldChar w:fldCharType="end"/>
      </w:r>
    </w:p>
    <w:p w14:paraId="6A5C8745">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_Toc19610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格式1. 谈判响应书</w:t>
      </w:r>
      <w:r>
        <w:tab/>
      </w:r>
      <w:r>
        <w:fldChar w:fldCharType="begin"/>
      </w:r>
      <w:r>
        <w:instrText xml:space="preserve"> PAGEREF _Toc19610 \h </w:instrText>
      </w:r>
      <w:r>
        <w:fldChar w:fldCharType="separate"/>
      </w:r>
      <w:r>
        <w:t>22</w:t>
      </w:r>
      <w:r>
        <w:fldChar w:fldCharType="end"/>
      </w:r>
      <w:r>
        <w:rPr>
          <w:rFonts w:hint="eastAsia" w:ascii="宋体" w:hAnsi="宋体" w:eastAsia="宋体" w:cs="宋体"/>
          <w:highlight w:val="none"/>
          <w:shd w:val="pct10" w:color="auto" w:fill="FFFFFF"/>
        </w:rPr>
        <w:fldChar w:fldCharType="end"/>
      </w:r>
    </w:p>
    <w:p w14:paraId="244B9B42">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_Toc28643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格式2.开标一览表</w:t>
      </w:r>
      <w:r>
        <w:tab/>
      </w:r>
      <w:r>
        <w:fldChar w:fldCharType="begin"/>
      </w:r>
      <w:r>
        <w:instrText xml:space="preserve"> PAGEREF _Toc28643 \h </w:instrText>
      </w:r>
      <w:r>
        <w:fldChar w:fldCharType="separate"/>
      </w:r>
      <w:r>
        <w:t>23</w:t>
      </w:r>
      <w:r>
        <w:fldChar w:fldCharType="end"/>
      </w:r>
      <w:r>
        <w:rPr>
          <w:rFonts w:hint="eastAsia" w:ascii="宋体" w:hAnsi="宋体" w:eastAsia="宋体" w:cs="宋体"/>
          <w:highlight w:val="none"/>
          <w:shd w:val="pct10" w:color="auto" w:fill="FFFFFF"/>
        </w:rPr>
        <w:fldChar w:fldCharType="end"/>
      </w:r>
    </w:p>
    <w:p w14:paraId="28DAFD3C">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_Toc9622 </w:instrText>
      </w:r>
      <w:r>
        <w:rPr>
          <w:rFonts w:hint="eastAsia" w:ascii="宋体" w:hAnsi="宋体" w:eastAsia="宋体" w:cs="宋体"/>
          <w:highlight w:val="none"/>
          <w:shd w:val="pct10" w:color="auto" w:fill="FFFFFF"/>
        </w:rPr>
        <w:fldChar w:fldCharType="separate"/>
      </w:r>
      <w:r>
        <w:rPr>
          <w:rFonts w:hint="eastAsia" w:ascii="宋体" w:hAnsi="宋体" w:eastAsia="宋体" w:cs="宋体"/>
          <w:szCs w:val="24"/>
          <w:highlight w:val="none"/>
        </w:rPr>
        <w:t>格式</w:t>
      </w:r>
      <w:r>
        <w:rPr>
          <w:rFonts w:ascii="宋体" w:hAnsi="宋体" w:eastAsia="宋体" w:cs="宋体"/>
          <w:szCs w:val="24"/>
          <w:highlight w:val="none"/>
        </w:rPr>
        <w:t>3</w:t>
      </w:r>
      <w:r>
        <w:rPr>
          <w:rFonts w:hint="eastAsia" w:ascii="宋体" w:hAnsi="宋体" w:eastAsia="宋体" w:cs="宋体"/>
          <w:szCs w:val="24"/>
          <w:highlight w:val="none"/>
        </w:rPr>
        <w:t>.</w:t>
      </w:r>
      <w:r>
        <w:rPr>
          <w:rFonts w:ascii="宋体" w:hAnsi="宋体" w:eastAsia="宋体" w:cs="宋体"/>
          <w:szCs w:val="24"/>
          <w:highlight w:val="none"/>
        </w:rPr>
        <w:t>分项报价明细表</w:t>
      </w:r>
      <w:r>
        <w:tab/>
      </w:r>
      <w:r>
        <w:fldChar w:fldCharType="begin"/>
      </w:r>
      <w:r>
        <w:instrText xml:space="preserve"> PAGEREF _Toc9622 \h </w:instrText>
      </w:r>
      <w:r>
        <w:fldChar w:fldCharType="separate"/>
      </w:r>
      <w:r>
        <w:t>24</w:t>
      </w:r>
      <w:r>
        <w:fldChar w:fldCharType="end"/>
      </w:r>
      <w:r>
        <w:rPr>
          <w:rFonts w:hint="eastAsia" w:ascii="宋体" w:hAnsi="宋体" w:eastAsia="宋体" w:cs="宋体"/>
          <w:highlight w:val="none"/>
          <w:shd w:val="pct10" w:color="auto" w:fill="FFFFFF"/>
        </w:rPr>
        <w:fldChar w:fldCharType="end"/>
      </w:r>
    </w:p>
    <w:p w14:paraId="438CB10F">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_Toc24622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格式</w:t>
      </w:r>
      <w:r>
        <w:rPr>
          <w:rFonts w:hint="eastAsia" w:ascii="宋体" w:hAnsi="宋体" w:eastAsia="宋体" w:cs="宋体"/>
          <w:highlight w:val="none"/>
          <w:lang w:val="en-US" w:eastAsia="zh-CN"/>
        </w:rPr>
        <w:t>4</w:t>
      </w:r>
      <w:r>
        <w:rPr>
          <w:rFonts w:hint="eastAsia" w:ascii="宋体" w:hAnsi="宋体" w:eastAsia="宋体" w:cs="宋体"/>
          <w:highlight w:val="none"/>
        </w:rPr>
        <w:t>. 技术规格响应/偏离表</w:t>
      </w:r>
      <w:r>
        <w:tab/>
      </w:r>
      <w:r>
        <w:fldChar w:fldCharType="begin"/>
      </w:r>
      <w:r>
        <w:instrText xml:space="preserve"> PAGEREF _Toc24622 \h </w:instrText>
      </w:r>
      <w:r>
        <w:fldChar w:fldCharType="separate"/>
      </w:r>
      <w:r>
        <w:t>25</w:t>
      </w:r>
      <w:r>
        <w:fldChar w:fldCharType="end"/>
      </w:r>
      <w:r>
        <w:rPr>
          <w:rFonts w:hint="eastAsia" w:ascii="宋体" w:hAnsi="宋体" w:eastAsia="宋体" w:cs="宋体"/>
          <w:highlight w:val="none"/>
          <w:shd w:val="pct10" w:color="auto" w:fill="FFFFFF"/>
        </w:rPr>
        <w:fldChar w:fldCharType="end"/>
      </w:r>
    </w:p>
    <w:p w14:paraId="12C26673">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_Toc4810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格式</w:t>
      </w:r>
      <w:r>
        <w:rPr>
          <w:rFonts w:hint="eastAsia" w:ascii="宋体" w:hAnsi="宋体" w:eastAsia="宋体" w:cs="宋体"/>
          <w:highlight w:val="none"/>
          <w:lang w:val="en-US" w:eastAsia="zh-CN"/>
        </w:rPr>
        <w:t>5</w:t>
      </w:r>
      <w:r>
        <w:rPr>
          <w:rFonts w:hint="eastAsia" w:ascii="宋体" w:hAnsi="宋体" w:eastAsia="宋体" w:cs="宋体"/>
          <w:highlight w:val="none"/>
        </w:rPr>
        <w:t>. 商务要求响应/偏离表</w:t>
      </w:r>
      <w:r>
        <w:tab/>
      </w:r>
      <w:r>
        <w:fldChar w:fldCharType="begin"/>
      </w:r>
      <w:r>
        <w:instrText xml:space="preserve"> PAGEREF _Toc4810 \h </w:instrText>
      </w:r>
      <w:r>
        <w:fldChar w:fldCharType="separate"/>
      </w:r>
      <w:r>
        <w:t>26</w:t>
      </w:r>
      <w:r>
        <w:fldChar w:fldCharType="end"/>
      </w:r>
      <w:r>
        <w:rPr>
          <w:rFonts w:hint="eastAsia" w:ascii="宋体" w:hAnsi="宋体" w:eastAsia="宋体" w:cs="宋体"/>
          <w:highlight w:val="none"/>
          <w:shd w:val="pct10" w:color="auto" w:fill="FFFFFF"/>
        </w:rPr>
        <w:fldChar w:fldCharType="end"/>
      </w:r>
    </w:p>
    <w:p w14:paraId="118DE2A6">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_Toc18633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lang w:val="en-US" w:eastAsia="zh-CN"/>
        </w:rPr>
        <w:t>6</w:t>
      </w:r>
      <w:r>
        <w:rPr>
          <w:rFonts w:hint="eastAsia" w:ascii="宋体" w:hAnsi="宋体" w:eastAsia="宋体" w:cs="宋体"/>
          <w:highlight w:val="none"/>
        </w:rPr>
        <w:t>. 其他证明资料</w:t>
      </w:r>
      <w:r>
        <w:tab/>
      </w:r>
      <w:r>
        <w:fldChar w:fldCharType="begin"/>
      </w:r>
      <w:r>
        <w:instrText xml:space="preserve"> PAGEREF _Toc18633 \h </w:instrText>
      </w:r>
      <w:r>
        <w:fldChar w:fldCharType="separate"/>
      </w:r>
      <w:r>
        <w:t>27</w:t>
      </w:r>
      <w:r>
        <w:fldChar w:fldCharType="end"/>
      </w:r>
      <w:r>
        <w:rPr>
          <w:rFonts w:hint="eastAsia" w:ascii="宋体" w:hAnsi="宋体" w:eastAsia="宋体" w:cs="宋体"/>
          <w:highlight w:val="none"/>
          <w:shd w:val="pct10" w:color="auto" w:fill="FFFFFF"/>
        </w:rPr>
        <w:fldChar w:fldCharType="end"/>
      </w:r>
    </w:p>
    <w:p w14:paraId="0FB9171C">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_Toc14086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lang w:val="en-US" w:eastAsia="zh-CN"/>
        </w:rPr>
        <w:t>7</w:t>
      </w:r>
      <w:r>
        <w:rPr>
          <w:rFonts w:hint="eastAsia" w:ascii="宋体" w:hAnsi="宋体" w:eastAsia="宋体" w:cs="宋体"/>
          <w:highlight w:val="none"/>
        </w:rPr>
        <w:t>. 技术文件</w:t>
      </w:r>
      <w:r>
        <w:tab/>
      </w:r>
      <w:r>
        <w:fldChar w:fldCharType="begin"/>
      </w:r>
      <w:r>
        <w:instrText xml:space="preserve"> PAGEREF _Toc14086 \h </w:instrText>
      </w:r>
      <w:r>
        <w:fldChar w:fldCharType="separate"/>
      </w:r>
      <w:r>
        <w:t>28</w:t>
      </w:r>
      <w:r>
        <w:fldChar w:fldCharType="end"/>
      </w:r>
      <w:r>
        <w:rPr>
          <w:rFonts w:hint="eastAsia" w:ascii="宋体" w:hAnsi="宋体" w:eastAsia="宋体" w:cs="宋体"/>
          <w:highlight w:val="none"/>
          <w:shd w:val="pct10" w:color="auto" w:fill="FFFFFF"/>
        </w:rPr>
        <w:fldChar w:fldCharType="end"/>
      </w:r>
    </w:p>
    <w:p w14:paraId="7D6CD63C">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_Toc3735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lang w:val="en-US" w:eastAsia="zh-CN"/>
        </w:rPr>
        <w:t>8</w:t>
      </w:r>
      <w:r>
        <w:rPr>
          <w:rFonts w:hint="eastAsia" w:ascii="宋体" w:hAnsi="宋体" w:eastAsia="宋体" w:cs="宋体"/>
          <w:highlight w:val="none"/>
        </w:rPr>
        <w:t>. 资格证明文件</w:t>
      </w:r>
      <w:r>
        <w:tab/>
      </w:r>
      <w:r>
        <w:fldChar w:fldCharType="begin"/>
      </w:r>
      <w:r>
        <w:instrText xml:space="preserve"> PAGEREF _Toc3735 \h </w:instrText>
      </w:r>
      <w:r>
        <w:fldChar w:fldCharType="separate"/>
      </w:r>
      <w:r>
        <w:t>29</w:t>
      </w:r>
      <w:r>
        <w:fldChar w:fldCharType="end"/>
      </w:r>
      <w:r>
        <w:rPr>
          <w:rFonts w:hint="eastAsia" w:ascii="宋体" w:hAnsi="宋体" w:eastAsia="宋体" w:cs="宋体"/>
          <w:highlight w:val="none"/>
          <w:shd w:val="pct10" w:color="auto" w:fill="FFFFFF"/>
        </w:rPr>
        <w:fldChar w:fldCharType="end"/>
      </w:r>
    </w:p>
    <w:p w14:paraId="7514A40C">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_Toc26683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lang w:val="en-US" w:eastAsia="zh-CN"/>
        </w:rPr>
        <w:t>8</w:t>
      </w:r>
      <w:r>
        <w:rPr>
          <w:rFonts w:hint="eastAsia" w:ascii="宋体" w:hAnsi="宋体" w:eastAsia="宋体" w:cs="宋体"/>
          <w:highlight w:val="none"/>
        </w:rPr>
        <w:t>.1、江西省政府采购供应商资格信用承诺函</w:t>
      </w:r>
      <w:r>
        <w:tab/>
      </w:r>
      <w:r>
        <w:fldChar w:fldCharType="begin"/>
      </w:r>
      <w:r>
        <w:instrText xml:space="preserve"> PAGEREF _Toc26683 \h </w:instrText>
      </w:r>
      <w:r>
        <w:fldChar w:fldCharType="separate"/>
      </w:r>
      <w:r>
        <w:t>29</w:t>
      </w:r>
      <w:r>
        <w:fldChar w:fldCharType="end"/>
      </w:r>
      <w:r>
        <w:rPr>
          <w:rFonts w:hint="eastAsia" w:ascii="宋体" w:hAnsi="宋体" w:eastAsia="宋体" w:cs="宋体"/>
          <w:highlight w:val="none"/>
          <w:shd w:val="pct10" w:color="auto" w:fill="FFFFFF"/>
        </w:rPr>
        <w:fldChar w:fldCharType="end"/>
      </w:r>
    </w:p>
    <w:p w14:paraId="49AF5D6D">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_Toc9398 </w:instrText>
      </w:r>
      <w:r>
        <w:rPr>
          <w:rFonts w:hint="eastAsia" w:ascii="宋体" w:hAnsi="宋体" w:eastAsia="宋体" w:cs="宋体"/>
          <w:highlight w:val="none"/>
          <w:shd w:val="pct10" w:color="auto" w:fill="FFFFFF"/>
        </w:rPr>
        <w:fldChar w:fldCharType="separate"/>
      </w:r>
      <w:r>
        <w:rPr>
          <w:rFonts w:hint="eastAsia" w:ascii="宋体" w:hAnsi="宋体" w:eastAsia="宋体" w:cs="宋体"/>
          <w:bCs/>
          <w:highlight w:val="none"/>
        </w:rPr>
        <w:t>说明：如投标人提供了《江西省政府采购供应商资格信用承诺函》的，视同提供了“满足《中华人民共和国政府采购法》第二十二条规定须提供的证明文件”中</w:t>
      </w:r>
      <w:r>
        <w:rPr>
          <w:rFonts w:hint="eastAsia" w:ascii="宋体" w:hAnsi="宋体" w:eastAsia="宋体" w:cs="宋体"/>
          <w:bCs/>
          <w:highlight w:val="none"/>
          <w:lang w:val="en-US" w:eastAsia="zh-CN"/>
        </w:rPr>
        <w:t>8.2</w:t>
      </w:r>
      <w:r>
        <w:rPr>
          <w:rFonts w:hint="eastAsia" w:ascii="宋体" w:hAnsi="宋体" w:eastAsia="宋体" w:cs="宋体"/>
          <w:bCs/>
          <w:highlight w:val="none"/>
        </w:rPr>
        <w:t>～</w:t>
      </w:r>
      <w:r>
        <w:rPr>
          <w:rFonts w:hint="eastAsia" w:ascii="宋体" w:hAnsi="宋体" w:eastAsia="宋体" w:cs="宋体"/>
          <w:highlight w:val="none"/>
          <w:lang w:val="en-US" w:eastAsia="zh-CN"/>
        </w:rPr>
        <w:t>8.</w:t>
      </w:r>
      <w:r>
        <w:rPr>
          <w:rFonts w:hint="eastAsia" w:ascii="宋体" w:hAnsi="宋体" w:eastAsia="宋体" w:cs="宋体"/>
          <w:bCs/>
          <w:highlight w:val="none"/>
          <w:lang w:val="en-US" w:eastAsia="zh-CN"/>
        </w:rPr>
        <w:t>6</w:t>
      </w:r>
      <w:r>
        <w:rPr>
          <w:rFonts w:hint="eastAsia" w:ascii="宋体" w:hAnsi="宋体" w:eastAsia="宋体" w:cs="宋体"/>
          <w:bCs/>
          <w:highlight w:val="none"/>
        </w:rPr>
        <w:t>资格要求的证明材料，无需再提供下列项证明文件。</w:t>
      </w:r>
      <w:r>
        <w:tab/>
      </w:r>
      <w:r>
        <w:fldChar w:fldCharType="begin"/>
      </w:r>
      <w:r>
        <w:instrText xml:space="preserve"> PAGEREF _Toc9398 \h </w:instrText>
      </w:r>
      <w:r>
        <w:fldChar w:fldCharType="separate"/>
      </w:r>
      <w:r>
        <w:t>31</w:t>
      </w:r>
      <w:r>
        <w:fldChar w:fldCharType="end"/>
      </w:r>
      <w:r>
        <w:rPr>
          <w:rFonts w:hint="eastAsia" w:ascii="宋体" w:hAnsi="宋体" w:eastAsia="宋体" w:cs="宋体"/>
          <w:highlight w:val="none"/>
          <w:shd w:val="pct10" w:color="auto" w:fill="FFFFFF"/>
        </w:rPr>
        <w:fldChar w:fldCharType="end"/>
      </w:r>
    </w:p>
    <w:p w14:paraId="231BB7C9">
      <w:pPr>
        <w:pStyle w:val="13"/>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_Toc5052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第五章  采购需求一览表及采购要求</w:t>
      </w:r>
      <w:r>
        <w:tab/>
      </w:r>
      <w:r>
        <w:fldChar w:fldCharType="begin"/>
      </w:r>
      <w:r>
        <w:instrText xml:space="preserve"> PAGEREF _Toc5052 \h </w:instrText>
      </w:r>
      <w:r>
        <w:fldChar w:fldCharType="separate"/>
      </w:r>
      <w:r>
        <w:t>37</w:t>
      </w:r>
      <w:r>
        <w:fldChar w:fldCharType="end"/>
      </w:r>
      <w:r>
        <w:rPr>
          <w:rFonts w:hint="eastAsia" w:ascii="宋体" w:hAnsi="宋体" w:eastAsia="宋体" w:cs="宋体"/>
          <w:highlight w:val="none"/>
          <w:shd w:val="pct10" w:color="auto" w:fill="FFFFFF"/>
        </w:rPr>
        <w:fldChar w:fldCharType="end"/>
      </w:r>
    </w:p>
    <w:p w14:paraId="51FC919E">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_Toc5942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一、采购需求一览表</w:t>
      </w:r>
      <w:r>
        <w:tab/>
      </w:r>
      <w:r>
        <w:fldChar w:fldCharType="begin"/>
      </w:r>
      <w:r>
        <w:instrText xml:space="preserve"> PAGEREF _Toc5942 \h </w:instrText>
      </w:r>
      <w:r>
        <w:fldChar w:fldCharType="separate"/>
      </w:r>
      <w:r>
        <w:t>37</w:t>
      </w:r>
      <w:r>
        <w:fldChar w:fldCharType="end"/>
      </w:r>
      <w:r>
        <w:rPr>
          <w:rFonts w:hint="eastAsia" w:ascii="宋体" w:hAnsi="宋体" w:eastAsia="宋体" w:cs="宋体"/>
          <w:highlight w:val="none"/>
          <w:shd w:val="pct10" w:color="auto" w:fill="FFFFFF"/>
        </w:rPr>
        <w:fldChar w:fldCharType="end"/>
      </w:r>
    </w:p>
    <w:p w14:paraId="1630EB62">
      <w:pPr>
        <w:pStyle w:val="14"/>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_Toc8535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lang w:val="en-US" w:eastAsia="zh-CN"/>
        </w:rPr>
        <w:t>二</w:t>
      </w:r>
      <w:r>
        <w:rPr>
          <w:rFonts w:hint="eastAsia" w:ascii="宋体" w:hAnsi="宋体" w:eastAsia="宋体" w:cs="宋体"/>
          <w:highlight w:val="none"/>
        </w:rPr>
        <w:t>、采购需求</w:t>
      </w:r>
      <w:r>
        <w:tab/>
      </w:r>
      <w:r>
        <w:fldChar w:fldCharType="begin"/>
      </w:r>
      <w:r>
        <w:instrText xml:space="preserve"> PAGEREF _Toc8535 \h </w:instrText>
      </w:r>
      <w:r>
        <w:fldChar w:fldCharType="separate"/>
      </w:r>
      <w:r>
        <w:t>38</w:t>
      </w:r>
      <w:r>
        <w:fldChar w:fldCharType="end"/>
      </w:r>
      <w:r>
        <w:rPr>
          <w:rFonts w:hint="eastAsia" w:ascii="宋体" w:hAnsi="宋体" w:eastAsia="宋体" w:cs="宋体"/>
          <w:highlight w:val="none"/>
          <w:shd w:val="pct10" w:color="auto" w:fill="FFFFFF"/>
        </w:rPr>
        <w:fldChar w:fldCharType="end"/>
      </w:r>
    </w:p>
    <w:p w14:paraId="42396821">
      <w:pPr>
        <w:pStyle w:val="9"/>
        <w:tabs>
          <w:tab w:val="right" w:leader="dot" w:pos="9923"/>
        </w:tabs>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_Toc29373 </w:instrText>
      </w:r>
      <w:r>
        <w:rPr>
          <w:rFonts w:hint="eastAsia" w:ascii="宋体" w:hAnsi="宋体" w:eastAsia="宋体" w:cs="宋体"/>
          <w:highlight w:val="none"/>
          <w:shd w:val="pct10" w:color="auto" w:fill="FFFFFF"/>
        </w:rPr>
        <w:fldChar w:fldCharType="separate"/>
      </w:r>
      <w:r>
        <w:rPr>
          <w:rFonts w:hint="eastAsia" w:ascii="宋体" w:hAnsi="宋体" w:eastAsia="宋体" w:cs="宋体"/>
          <w:bCs/>
          <w:szCs w:val="24"/>
        </w:rPr>
        <w:t xml:space="preserve">（一） </w:t>
      </w:r>
      <w:r>
        <w:rPr>
          <w:rFonts w:hint="eastAsia" w:ascii="宋体" w:hAnsi="宋体" w:eastAsia="宋体" w:cs="宋体"/>
          <w:bCs/>
          <w:szCs w:val="24"/>
          <w:highlight w:val="none"/>
        </w:rPr>
        <w:t>技术需求</w:t>
      </w:r>
      <w:r>
        <w:tab/>
      </w:r>
      <w:r>
        <w:fldChar w:fldCharType="begin"/>
      </w:r>
      <w:r>
        <w:instrText xml:space="preserve"> PAGEREF _Toc29373 \h </w:instrText>
      </w:r>
      <w:r>
        <w:fldChar w:fldCharType="separate"/>
      </w:r>
      <w:r>
        <w:t>38</w:t>
      </w:r>
      <w:r>
        <w:fldChar w:fldCharType="end"/>
      </w:r>
      <w:r>
        <w:rPr>
          <w:rFonts w:hint="eastAsia" w:ascii="宋体" w:hAnsi="宋体" w:eastAsia="宋体" w:cs="宋体"/>
          <w:highlight w:val="none"/>
          <w:shd w:val="pct10" w:color="auto" w:fill="FFFFFF"/>
        </w:rPr>
        <w:fldChar w:fldCharType="end"/>
      </w:r>
    </w:p>
    <w:p w14:paraId="37F34CE9">
      <w:pPr>
        <w:tabs>
          <w:tab w:val="right" w:leader="dot" w:pos="9913"/>
        </w:tabs>
        <w:spacing w:line="360" w:lineRule="auto"/>
        <w:jc w:val="center"/>
        <w:rPr>
          <w:rFonts w:hint="eastAsia" w:ascii="宋体" w:hAnsi="宋体" w:eastAsia="宋体" w:cs="宋体"/>
          <w:highlight w:val="none"/>
          <w:shd w:val="pct10" w:color="auto" w:fill="FFFFFF"/>
        </w:rPr>
      </w:pPr>
      <w:r>
        <w:rPr>
          <w:rFonts w:hint="eastAsia" w:ascii="宋体" w:hAnsi="宋体" w:eastAsia="宋体" w:cs="宋体"/>
          <w:highlight w:val="none"/>
          <w:shd w:val="pct10" w:color="auto" w:fill="FFFFFF"/>
        </w:rPr>
        <w:fldChar w:fldCharType="end"/>
      </w:r>
    </w:p>
    <w:p w14:paraId="0F7DECE0">
      <w:pPr>
        <w:rPr>
          <w:rFonts w:hint="eastAsia" w:ascii="宋体" w:hAnsi="宋体" w:eastAsia="宋体" w:cs="宋体"/>
          <w:highlight w:val="none"/>
          <w:shd w:val="pct10" w:color="auto" w:fill="FFFFFF"/>
        </w:rPr>
      </w:pPr>
    </w:p>
    <w:p w14:paraId="78366D2F">
      <w:pPr>
        <w:rPr>
          <w:rFonts w:hint="eastAsia" w:ascii="宋体" w:hAnsi="宋体" w:eastAsia="宋体" w:cs="宋体"/>
          <w:highlight w:val="none"/>
        </w:rPr>
      </w:pPr>
      <w:bookmarkStart w:id="0" w:name="_Toc1032"/>
      <w:r>
        <w:rPr>
          <w:rFonts w:hint="eastAsia" w:ascii="宋体" w:hAnsi="宋体" w:eastAsia="宋体" w:cs="宋体"/>
          <w:highlight w:val="none"/>
        </w:rPr>
        <w:br w:type="page"/>
      </w:r>
    </w:p>
    <w:p w14:paraId="63F0EE73">
      <w:pPr>
        <w:pStyle w:val="40"/>
        <w:spacing w:line="460" w:lineRule="exact"/>
        <w:rPr>
          <w:rFonts w:hint="eastAsia" w:ascii="宋体" w:hAnsi="宋体" w:eastAsia="宋体" w:cs="宋体"/>
          <w:highlight w:val="none"/>
        </w:rPr>
      </w:pPr>
      <w:r>
        <w:rPr>
          <w:rFonts w:hint="eastAsia" w:ascii="宋体" w:hAnsi="宋体" w:eastAsia="宋体" w:cs="宋体"/>
          <w:highlight w:val="none"/>
        </w:rPr>
        <w:t>第一章  谈判邀请</w:t>
      </w:r>
      <w:bookmarkEnd w:id="0"/>
    </w:p>
    <w:p w14:paraId="51FBEC21">
      <w:pPr>
        <w:pStyle w:val="3"/>
        <w:ind w:firstLine="210"/>
        <w:rPr>
          <w:rFonts w:hint="eastAsia" w:ascii="宋体" w:hAnsi="宋体" w:eastAsia="宋体" w:cs="宋体"/>
          <w:highlight w:val="none"/>
        </w:rPr>
      </w:pPr>
    </w:p>
    <w:p w14:paraId="24F0AEB5">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项目概况</w:t>
      </w:r>
    </w:p>
    <w:p w14:paraId="19447205">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本项目的潜在供应商应在东乡区人民政府网（公共资源交易）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东乡区公共资源交易中心、</w:t>
      </w:r>
      <w:r>
        <w:rPr>
          <w:rFonts w:hint="eastAsia" w:ascii="宋体" w:hAnsi="宋体" w:eastAsia="宋体" w:cs="宋体"/>
          <w:sz w:val="24"/>
          <w:szCs w:val="24"/>
          <w:highlight w:val="none"/>
          <w:lang w:eastAsia="zh-CN"/>
        </w:rPr>
        <w:t>抚州市东乡区工业与科技创新投资集团有限公司</w:t>
      </w:r>
      <w:r>
        <w:rPr>
          <w:rFonts w:hint="eastAsia" w:ascii="宋体" w:hAnsi="宋体" w:eastAsia="宋体" w:cs="宋体"/>
          <w:sz w:val="24"/>
          <w:szCs w:val="24"/>
          <w:highlight w:val="none"/>
        </w:rPr>
        <w:t>官网下载获取谈判文件。并于</w:t>
      </w:r>
      <w:r>
        <w:rPr>
          <w:rFonts w:hint="eastAsia" w:ascii="宋体" w:hAnsi="宋体" w:cs="宋体"/>
          <w:sz w:val="24"/>
          <w:szCs w:val="24"/>
          <w:highlight w:val="none"/>
          <w:lang w:eastAsia="zh-CN"/>
        </w:rPr>
        <w:t>2025年11月28日</w:t>
      </w:r>
      <w:r>
        <w:rPr>
          <w:rFonts w:hint="eastAsia" w:ascii="宋体" w:hAnsi="宋体" w:eastAsia="宋体" w:cs="宋体"/>
          <w:sz w:val="24"/>
          <w:szCs w:val="24"/>
          <w:highlight w:val="none"/>
          <w:lang w:eastAsia="zh-CN"/>
        </w:rPr>
        <w:t>上午10点00分</w:t>
      </w:r>
      <w:r>
        <w:rPr>
          <w:rFonts w:hint="eastAsia" w:ascii="宋体" w:hAnsi="宋体" w:eastAsia="宋体" w:cs="宋体"/>
          <w:sz w:val="24"/>
          <w:szCs w:val="24"/>
          <w:highlight w:val="none"/>
        </w:rPr>
        <w:t>（北京时间）前提交响应文件。</w:t>
      </w:r>
    </w:p>
    <w:p w14:paraId="6A7F5B27">
      <w:pPr>
        <w:pStyle w:val="41"/>
        <w:spacing w:before="0" w:beforeLines="0" w:line="460" w:lineRule="exact"/>
        <w:rPr>
          <w:rFonts w:hint="eastAsia" w:ascii="宋体" w:hAnsi="宋体" w:eastAsia="宋体" w:cs="宋体"/>
          <w:highlight w:val="none"/>
        </w:rPr>
      </w:pPr>
      <w:bookmarkStart w:id="1" w:name="_Toc35393621"/>
      <w:bookmarkStart w:id="2" w:name="_Toc35393790"/>
      <w:bookmarkStart w:id="3" w:name="_Toc27129"/>
      <w:bookmarkStart w:id="4" w:name="_Toc28359002"/>
      <w:bookmarkStart w:id="5" w:name="_Toc28359079"/>
      <w:bookmarkStart w:id="6" w:name="_Toc10654"/>
      <w:bookmarkStart w:id="7" w:name="_Hlk24379207"/>
      <w:r>
        <w:rPr>
          <w:rFonts w:hint="eastAsia" w:ascii="宋体" w:hAnsi="宋体" w:eastAsia="宋体" w:cs="宋体"/>
          <w:highlight w:val="none"/>
        </w:rPr>
        <w:t>一、项目基本情况</w:t>
      </w:r>
      <w:bookmarkEnd w:id="1"/>
      <w:bookmarkEnd w:id="2"/>
      <w:bookmarkEnd w:id="3"/>
      <w:bookmarkEnd w:id="4"/>
      <w:bookmarkEnd w:id="5"/>
      <w:bookmarkEnd w:id="6"/>
    </w:p>
    <w:p w14:paraId="65CDABCC">
      <w:pPr>
        <w:pStyle w:val="45"/>
        <w:spacing w:line="460" w:lineRule="exact"/>
        <w:rPr>
          <w:rFonts w:hint="eastAsia" w:ascii="宋体" w:hAnsi="宋体" w:eastAsia="宋体" w:cs="宋体"/>
          <w:highlight w:val="none"/>
          <w:lang w:eastAsia="zh-CN"/>
        </w:rPr>
      </w:pPr>
      <w:r>
        <w:rPr>
          <w:rFonts w:hint="eastAsia" w:ascii="宋体" w:hAnsi="宋体" w:eastAsia="宋体" w:cs="宋体"/>
          <w:highlight w:val="none"/>
          <w:lang w:val="en-US" w:eastAsia="zh-CN"/>
        </w:rPr>
        <w:t>1、</w:t>
      </w:r>
      <w:r>
        <w:rPr>
          <w:rFonts w:hint="eastAsia" w:ascii="宋体" w:hAnsi="宋体" w:eastAsia="宋体" w:cs="宋体"/>
          <w:highlight w:val="none"/>
        </w:rPr>
        <w:t>项目编号：</w:t>
      </w:r>
      <w:r>
        <w:rPr>
          <w:rFonts w:hint="eastAsia" w:ascii="宋体" w:hAnsi="宋体" w:eastAsia="宋体" w:cs="宋体"/>
          <w:highlight w:val="none"/>
          <w:lang w:eastAsia="zh-CN"/>
        </w:rPr>
        <w:t>JXBT2025DX012</w:t>
      </w:r>
    </w:p>
    <w:p w14:paraId="6F39F0AC">
      <w:pPr>
        <w:pStyle w:val="45"/>
        <w:spacing w:line="460" w:lineRule="exact"/>
        <w:rPr>
          <w:rFonts w:hint="eastAsia" w:ascii="宋体" w:hAnsi="宋体" w:eastAsia="宋体" w:cs="宋体"/>
          <w:highlight w:val="none"/>
          <w:lang w:eastAsia="zh-CN"/>
        </w:rPr>
      </w:pPr>
      <w:r>
        <w:rPr>
          <w:rFonts w:hint="eastAsia" w:ascii="宋体" w:hAnsi="宋体" w:eastAsia="宋体" w:cs="宋体"/>
          <w:highlight w:val="none"/>
          <w:lang w:val="en-US" w:eastAsia="zh-CN"/>
        </w:rPr>
        <w:t>2、</w:t>
      </w:r>
      <w:r>
        <w:rPr>
          <w:rFonts w:hint="eastAsia" w:ascii="宋体" w:hAnsi="宋体" w:eastAsia="宋体" w:cs="宋体"/>
          <w:highlight w:val="none"/>
        </w:rPr>
        <w:t>项目名称：</w:t>
      </w:r>
      <w:r>
        <w:rPr>
          <w:rFonts w:hint="eastAsia" w:ascii="宋体" w:hAnsi="宋体" w:eastAsia="宋体" w:cs="宋体"/>
          <w:highlight w:val="none"/>
          <w:lang w:eastAsia="zh-CN"/>
        </w:rPr>
        <w:t>科技孵化园污水提升泵站设备采购</w:t>
      </w:r>
    </w:p>
    <w:p w14:paraId="0E2D9A51">
      <w:pPr>
        <w:pStyle w:val="45"/>
        <w:spacing w:line="460" w:lineRule="exact"/>
        <w:rPr>
          <w:rFonts w:hint="eastAsia" w:ascii="宋体" w:hAnsi="宋体" w:eastAsia="宋体" w:cs="宋体"/>
          <w:highlight w:val="none"/>
        </w:rPr>
      </w:pPr>
      <w:r>
        <w:rPr>
          <w:rFonts w:hint="eastAsia" w:ascii="宋体" w:hAnsi="宋体" w:eastAsia="宋体" w:cs="宋体"/>
          <w:highlight w:val="none"/>
        </w:rPr>
        <w:t>3、预算金额：</w:t>
      </w:r>
      <w:r>
        <w:rPr>
          <w:rFonts w:hint="eastAsia" w:ascii="宋体" w:hAnsi="宋体" w:eastAsia="宋体" w:cs="宋体"/>
          <w:highlight w:val="none"/>
          <w:lang w:eastAsia="zh-CN"/>
        </w:rPr>
        <w:t>580000</w:t>
      </w:r>
      <w:r>
        <w:rPr>
          <w:rFonts w:hint="eastAsia" w:ascii="宋体" w:hAnsi="宋体" w:eastAsia="宋体" w:cs="宋体"/>
          <w:highlight w:val="none"/>
        </w:rPr>
        <w:t>元</w:t>
      </w:r>
    </w:p>
    <w:p w14:paraId="0CEB20FD">
      <w:pPr>
        <w:pStyle w:val="45"/>
        <w:spacing w:line="460" w:lineRule="exact"/>
        <w:rPr>
          <w:rFonts w:hint="eastAsia" w:ascii="宋体" w:hAnsi="宋体" w:eastAsia="宋体" w:cs="宋体"/>
          <w:highlight w:val="none"/>
          <w:lang w:eastAsia="zh-CN"/>
        </w:rPr>
      </w:pPr>
      <w:r>
        <w:rPr>
          <w:rFonts w:hint="eastAsia" w:ascii="宋体" w:hAnsi="宋体" w:eastAsia="宋体" w:cs="宋体"/>
          <w:highlight w:val="none"/>
        </w:rPr>
        <w:t>4、最高限价：</w:t>
      </w:r>
      <w:r>
        <w:rPr>
          <w:rFonts w:hint="eastAsia" w:ascii="宋体" w:hAnsi="宋体" w:eastAsia="宋体" w:cs="宋体"/>
          <w:highlight w:val="none"/>
          <w:lang w:eastAsia="zh-CN"/>
        </w:rPr>
        <w:t>580000</w:t>
      </w:r>
      <w:r>
        <w:rPr>
          <w:rFonts w:hint="eastAsia" w:ascii="宋体" w:hAnsi="宋体" w:eastAsia="宋体" w:cs="宋体"/>
          <w:highlight w:val="none"/>
        </w:rPr>
        <w:t>元</w:t>
      </w:r>
    </w:p>
    <w:bookmarkEnd w:id="7"/>
    <w:p w14:paraId="6189CF53">
      <w:pPr>
        <w:pStyle w:val="45"/>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采购需求：</w:t>
      </w:r>
    </w:p>
    <w:tbl>
      <w:tblPr>
        <w:tblStyle w:val="17"/>
        <w:tblW w:w="504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973"/>
        <w:gridCol w:w="1263"/>
        <w:gridCol w:w="1566"/>
        <w:gridCol w:w="3230"/>
      </w:tblGrid>
      <w:tr w14:paraId="3B9800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980" w:type="pct"/>
            <w:shd w:val="clear" w:color="auto" w:fill="auto"/>
            <w:vAlign w:val="center"/>
          </w:tcPr>
          <w:p w14:paraId="713ECE21">
            <w:pPr>
              <w:widowControl/>
              <w:spacing w:line="460" w:lineRule="exact"/>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采购条目名称</w:t>
            </w:r>
          </w:p>
        </w:tc>
        <w:tc>
          <w:tcPr>
            <w:tcW w:w="629" w:type="pct"/>
            <w:shd w:val="clear" w:color="auto" w:fill="auto"/>
            <w:vAlign w:val="center"/>
          </w:tcPr>
          <w:p w14:paraId="61FFD949">
            <w:pPr>
              <w:widowControl/>
              <w:spacing w:line="460" w:lineRule="exact"/>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数量</w:t>
            </w:r>
          </w:p>
        </w:tc>
        <w:tc>
          <w:tcPr>
            <w:tcW w:w="780" w:type="pct"/>
            <w:shd w:val="clear" w:color="auto" w:fill="auto"/>
            <w:vAlign w:val="center"/>
          </w:tcPr>
          <w:p w14:paraId="1B245555">
            <w:pPr>
              <w:widowControl/>
              <w:spacing w:line="460" w:lineRule="exact"/>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单位</w:t>
            </w:r>
          </w:p>
        </w:tc>
        <w:tc>
          <w:tcPr>
            <w:tcW w:w="1609" w:type="pct"/>
            <w:shd w:val="clear" w:color="auto" w:fill="auto"/>
            <w:vAlign w:val="center"/>
          </w:tcPr>
          <w:p w14:paraId="623E70CF">
            <w:pPr>
              <w:widowControl/>
              <w:spacing w:line="460" w:lineRule="exact"/>
              <w:jc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主要服务要求</w:t>
            </w:r>
          </w:p>
        </w:tc>
      </w:tr>
      <w:tr w14:paraId="5150A6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0" w:hRule="atLeast"/>
          <w:jc w:val="center"/>
        </w:trPr>
        <w:tc>
          <w:tcPr>
            <w:tcW w:w="1980" w:type="pct"/>
            <w:shd w:val="clear" w:color="auto" w:fill="auto"/>
            <w:vAlign w:val="center"/>
          </w:tcPr>
          <w:p w14:paraId="418B1C15">
            <w:pPr>
              <w:widowControl/>
              <w:spacing w:line="460" w:lineRule="exact"/>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科技孵化园污水提升泵站设备采购</w:t>
            </w:r>
          </w:p>
        </w:tc>
        <w:tc>
          <w:tcPr>
            <w:tcW w:w="629" w:type="pct"/>
            <w:shd w:val="clear" w:color="auto" w:fill="auto"/>
            <w:vAlign w:val="center"/>
          </w:tcPr>
          <w:p w14:paraId="696F4C73">
            <w:pPr>
              <w:widowControl/>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80" w:type="pct"/>
            <w:shd w:val="clear" w:color="auto" w:fill="auto"/>
            <w:vAlign w:val="center"/>
          </w:tcPr>
          <w:p w14:paraId="3E1E2F33">
            <w:pPr>
              <w:widowControl/>
              <w:spacing w:line="46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项</w:t>
            </w:r>
          </w:p>
        </w:tc>
        <w:tc>
          <w:tcPr>
            <w:tcW w:w="1609" w:type="pct"/>
            <w:shd w:val="clear" w:color="auto" w:fill="auto"/>
            <w:vAlign w:val="center"/>
          </w:tcPr>
          <w:p w14:paraId="0A64CC4B">
            <w:pPr>
              <w:widowControl/>
              <w:spacing w:line="460" w:lineRule="exact"/>
              <w:jc w:val="center"/>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bidi="ar"/>
              </w:rPr>
              <w:t>详见“采购项目需求”</w:t>
            </w:r>
          </w:p>
        </w:tc>
      </w:tr>
    </w:tbl>
    <w:p w14:paraId="3042A781">
      <w:pPr>
        <w:pStyle w:val="45"/>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合同履行期限：</w:t>
      </w:r>
      <w:r>
        <w:rPr>
          <w:rFonts w:hint="eastAsia" w:ascii="宋体" w:hAnsi="宋体" w:eastAsia="宋体" w:cs="宋体"/>
          <w:highlight w:val="none"/>
          <w:lang w:val="en-US" w:eastAsia="zh-CN"/>
        </w:rPr>
        <w:t>中标后3个日内完成合同的签订，合同签订后45天内完成设备安装调试并交付使用。</w:t>
      </w:r>
    </w:p>
    <w:p w14:paraId="01206A84">
      <w:pPr>
        <w:pStyle w:val="45"/>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本项目（是/否）接受联合体参加谈判：否</w:t>
      </w:r>
    </w:p>
    <w:p w14:paraId="47F76871">
      <w:pPr>
        <w:pStyle w:val="41"/>
        <w:spacing w:before="0" w:beforeLines="0" w:line="460" w:lineRule="exact"/>
        <w:rPr>
          <w:rFonts w:hint="eastAsia" w:ascii="宋体" w:hAnsi="宋体" w:eastAsia="宋体" w:cs="宋体"/>
          <w:highlight w:val="none"/>
        </w:rPr>
      </w:pPr>
      <w:bookmarkStart w:id="8" w:name="_Toc35393622"/>
      <w:bookmarkStart w:id="9" w:name="_Toc35393791"/>
      <w:bookmarkStart w:id="10" w:name="_Toc26529"/>
      <w:bookmarkStart w:id="11" w:name="_Toc28359080"/>
      <w:bookmarkStart w:id="12" w:name="_Toc9982"/>
      <w:bookmarkStart w:id="13" w:name="_Toc28359003"/>
      <w:r>
        <w:rPr>
          <w:rFonts w:hint="eastAsia" w:ascii="宋体" w:hAnsi="宋体" w:eastAsia="宋体" w:cs="宋体"/>
          <w:highlight w:val="none"/>
        </w:rPr>
        <w:t>二、申请人的资格要求</w:t>
      </w:r>
      <w:bookmarkEnd w:id="8"/>
      <w:bookmarkEnd w:id="9"/>
      <w:bookmarkEnd w:id="10"/>
      <w:bookmarkEnd w:id="11"/>
      <w:bookmarkEnd w:id="12"/>
      <w:bookmarkEnd w:id="13"/>
    </w:p>
    <w:p w14:paraId="55229227">
      <w:pPr>
        <w:pStyle w:val="45"/>
        <w:spacing w:line="460" w:lineRule="exact"/>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5BE2A34">
      <w:pPr>
        <w:pStyle w:val="45"/>
        <w:spacing w:line="460" w:lineRule="exact"/>
        <w:rPr>
          <w:rFonts w:hint="eastAsia" w:ascii="宋体" w:hAnsi="宋体" w:eastAsia="宋体" w:cs="宋体"/>
          <w:highlight w:val="none"/>
        </w:rPr>
      </w:pPr>
      <w:r>
        <w:rPr>
          <w:rFonts w:hint="eastAsia" w:ascii="宋体" w:hAnsi="宋体" w:eastAsia="宋体" w:cs="宋体"/>
          <w:highlight w:val="none"/>
        </w:rPr>
        <w:t xml:space="preserve">2.具有良好的商业信誉和健全的财务会计制度 </w:t>
      </w:r>
    </w:p>
    <w:p w14:paraId="3D860191">
      <w:pPr>
        <w:pStyle w:val="45"/>
        <w:spacing w:line="460" w:lineRule="exact"/>
        <w:rPr>
          <w:rFonts w:hint="eastAsia" w:ascii="宋体" w:hAnsi="宋体" w:eastAsia="宋体" w:cs="宋体"/>
          <w:highlight w:val="none"/>
        </w:rPr>
      </w:pPr>
      <w:r>
        <w:rPr>
          <w:rFonts w:hint="eastAsia" w:ascii="宋体" w:hAnsi="宋体" w:eastAsia="宋体" w:cs="宋体"/>
          <w:highlight w:val="none"/>
        </w:rPr>
        <w:t xml:space="preserve">3.具有履行合同所必须的设备和专业技术能力 </w:t>
      </w:r>
    </w:p>
    <w:p w14:paraId="058B0282">
      <w:pPr>
        <w:pStyle w:val="45"/>
        <w:spacing w:line="460" w:lineRule="exact"/>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1DC9B52B">
      <w:pPr>
        <w:pStyle w:val="45"/>
        <w:spacing w:line="460" w:lineRule="exact"/>
        <w:rPr>
          <w:rFonts w:hint="eastAsia" w:ascii="宋体" w:hAnsi="宋体" w:eastAsia="宋体" w:cs="宋体"/>
          <w:highlight w:val="none"/>
        </w:rPr>
      </w:pPr>
      <w:r>
        <w:rPr>
          <w:rFonts w:hint="eastAsia" w:ascii="宋体" w:hAnsi="宋体" w:eastAsia="宋体" w:cs="宋体"/>
          <w:highlight w:val="none"/>
        </w:rPr>
        <w:t>5.参加采购活动前三年内,在经营活动中没有重大违法记录</w:t>
      </w:r>
    </w:p>
    <w:p w14:paraId="21A03D54">
      <w:pPr>
        <w:pStyle w:val="45"/>
        <w:spacing w:line="460" w:lineRule="exact"/>
        <w:rPr>
          <w:rFonts w:hint="eastAsia" w:ascii="宋体" w:hAnsi="宋体" w:eastAsia="宋体" w:cs="宋体"/>
          <w:highlight w:val="none"/>
        </w:rPr>
      </w:pPr>
      <w:r>
        <w:rPr>
          <w:rFonts w:hint="eastAsia" w:ascii="宋体" w:hAnsi="宋体" w:eastAsia="宋体" w:cs="宋体"/>
          <w:highlight w:val="none"/>
        </w:rPr>
        <w:t>6.法律、行政法规规定的其他条件。</w:t>
      </w:r>
    </w:p>
    <w:p w14:paraId="1BAA3901">
      <w:pPr>
        <w:pStyle w:val="45"/>
        <w:spacing w:line="460" w:lineRule="exact"/>
        <w:rPr>
          <w:rFonts w:hint="eastAsia" w:ascii="宋体" w:hAnsi="宋体" w:eastAsia="宋体" w:cs="宋体"/>
          <w:highlight w:val="none"/>
        </w:rPr>
      </w:pPr>
      <w:r>
        <w:rPr>
          <w:rFonts w:hint="eastAsia" w:ascii="宋体" w:hAnsi="宋体" w:eastAsia="宋体" w:cs="宋体"/>
          <w:highlight w:val="none"/>
        </w:rPr>
        <w:t>7.单位负责人为同一人或者存在直接控股、管理关系的不同供应商，不得参加同一合同项下的采购活动。</w:t>
      </w:r>
    </w:p>
    <w:p w14:paraId="0A3EF01F">
      <w:pPr>
        <w:pStyle w:val="45"/>
        <w:spacing w:line="460" w:lineRule="exact"/>
        <w:rPr>
          <w:rFonts w:hint="eastAsia" w:ascii="宋体" w:hAnsi="宋体" w:eastAsia="宋体" w:cs="宋体"/>
          <w:highlight w:val="none"/>
          <w:lang w:eastAsia="zh-CN"/>
        </w:rPr>
      </w:pPr>
      <w:r>
        <w:rPr>
          <w:rFonts w:hint="eastAsia" w:ascii="宋体" w:hAnsi="宋体" w:eastAsia="宋体" w:cs="宋体"/>
          <w:highlight w:val="none"/>
        </w:rPr>
        <w:t>8. 投标人须提供法人代表授权委托书、被授权人身份证复印件加盖公章</w:t>
      </w:r>
      <w:r>
        <w:rPr>
          <w:rFonts w:hint="eastAsia" w:ascii="宋体" w:hAnsi="宋体" w:eastAsia="宋体" w:cs="宋体"/>
          <w:b/>
          <w:highlight w:val="none"/>
          <w:lang w:eastAsia="zh-CN"/>
        </w:rPr>
        <w:t>。</w:t>
      </w:r>
    </w:p>
    <w:p w14:paraId="163DA539">
      <w:pPr>
        <w:pStyle w:val="45"/>
        <w:spacing w:line="460" w:lineRule="exact"/>
        <w:rPr>
          <w:rFonts w:hint="eastAsia" w:ascii="宋体" w:hAnsi="宋体" w:eastAsia="宋体" w:cs="宋体"/>
          <w:highlight w:val="none"/>
        </w:rPr>
      </w:pPr>
      <w:r>
        <w:rPr>
          <w:rFonts w:hint="eastAsia" w:ascii="宋体" w:hAnsi="宋体" w:eastAsia="宋体" w:cs="宋体"/>
          <w:highlight w:val="none"/>
        </w:rPr>
        <w:t>9. 通过“信用中国”或“中国政府采购网”查询相关主体信用记录，被列入失信被执行人、重大税收违法失信主体、政府采购严重违法失信行为记录名单的供应商（处罚期限尚未届满的），不得参与本项目的采购活动。</w:t>
      </w:r>
    </w:p>
    <w:p w14:paraId="5ABCD564">
      <w:pPr>
        <w:pStyle w:val="45"/>
        <w:spacing w:line="460" w:lineRule="exact"/>
        <w:rPr>
          <w:rFonts w:hint="eastAsia" w:ascii="宋体" w:hAnsi="宋体" w:eastAsia="宋体" w:cs="宋体"/>
          <w:highlight w:val="none"/>
        </w:rPr>
      </w:pPr>
      <w:r>
        <w:rPr>
          <w:rFonts w:hint="eastAsia" w:ascii="宋体" w:hAnsi="宋体" w:eastAsia="宋体" w:cs="宋体"/>
          <w:highlight w:val="none"/>
        </w:rPr>
        <w:t>10.本项目不接受联合体。</w:t>
      </w:r>
    </w:p>
    <w:p w14:paraId="536EA97C">
      <w:pPr>
        <w:pStyle w:val="45"/>
        <w:spacing w:line="460" w:lineRule="exact"/>
        <w:rPr>
          <w:rFonts w:hint="eastAsia" w:ascii="宋体" w:hAnsi="宋体" w:eastAsia="宋体" w:cs="宋体"/>
          <w:sz w:val="24"/>
          <w:szCs w:val="24"/>
          <w:highlight w:val="none"/>
          <w:u w:val="single"/>
          <w:lang w:val="en-US" w:eastAsia="zh-CN"/>
        </w:rPr>
      </w:pPr>
      <w:r>
        <w:rPr>
          <w:rFonts w:hint="eastAsia" w:ascii="宋体" w:hAnsi="宋体" w:eastAsia="宋体" w:cs="宋体"/>
          <w:highlight w:val="none"/>
          <w:lang w:val="en-US" w:eastAsia="zh-CN"/>
        </w:rPr>
        <w:t>11</w:t>
      </w:r>
      <w:r>
        <w:rPr>
          <w:rFonts w:hint="eastAsia" w:ascii="宋体" w:hAnsi="宋体" w:eastAsia="宋体" w:cs="宋体"/>
          <w:highlight w:val="none"/>
        </w:rPr>
        <w:t>.本项目的特定资格要求：</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w:t>
      </w:r>
    </w:p>
    <w:p w14:paraId="67EF729F">
      <w:pPr>
        <w:pStyle w:val="41"/>
        <w:spacing w:before="0" w:beforeLines="0" w:line="460" w:lineRule="exact"/>
        <w:rPr>
          <w:rFonts w:hint="eastAsia" w:ascii="宋体" w:hAnsi="宋体" w:eastAsia="宋体" w:cs="宋体"/>
          <w:highlight w:val="none"/>
        </w:rPr>
      </w:pPr>
      <w:bookmarkStart w:id="14" w:name="_Toc30441"/>
      <w:r>
        <w:rPr>
          <w:rFonts w:hint="eastAsia" w:ascii="宋体" w:hAnsi="宋体" w:eastAsia="宋体" w:cs="宋体"/>
          <w:highlight w:val="none"/>
        </w:rPr>
        <w:t>三、竞争性谈判文件的获取时间：</w:t>
      </w:r>
      <w:bookmarkEnd w:id="14"/>
    </w:p>
    <w:p w14:paraId="6771CEF1">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日至</w:t>
      </w:r>
      <w:r>
        <w:rPr>
          <w:rFonts w:hint="eastAsia" w:ascii="宋体" w:hAnsi="宋体" w:cs="宋体"/>
          <w:sz w:val="24"/>
          <w:szCs w:val="24"/>
          <w:highlight w:val="none"/>
          <w:lang w:eastAsia="zh-CN"/>
        </w:rPr>
        <w:t>2025年11月28日</w:t>
      </w:r>
      <w:r>
        <w:rPr>
          <w:rFonts w:hint="eastAsia" w:ascii="宋体" w:hAnsi="宋体" w:eastAsia="宋体" w:cs="宋体"/>
          <w:sz w:val="24"/>
          <w:szCs w:val="24"/>
          <w:highlight w:val="none"/>
        </w:rPr>
        <w:t>（北京时间，法定节假日除外）</w:t>
      </w:r>
    </w:p>
    <w:p w14:paraId="66374D0E">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地点：东乡区人民政府网、</w:t>
      </w:r>
      <w:r>
        <w:rPr>
          <w:rFonts w:hint="eastAsia" w:ascii="宋体" w:hAnsi="宋体" w:eastAsia="宋体" w:cs="宋体"/>
          <w:sz w:val="24"/>
          <w:szCs w:val="24"/>
          <w:highlight w:val="none"/>
          <w:lang w:val="en-US" w:eastAsia="zh-CN"/>
        </w:rPr>
        <w:t>东乡区公共资源交易中心、</w:t>
      </w:r>
      <w:r>
        <w:rPr>
          <w:rFonts w:hint="eastAsia" w:ascii="宋体" w:hAnsi="宋体" w:eastAsia="宋体" w:cs="宋体"/>
          <w:sz w:val="24"/>
          <w:szCs w:val="24"/>
          <w:highlight w:val="none"/>
          <w:lang w:eastAsia="zh-CN"/>
        </w:rPr>
        <w:t>抚州市东乡区工业与科技创新投资集团有限公司</w:t>
      </w:r>
      <w:r>
        <w:rPr>
          <w:rFonts w:hint="eastAsia" w:ascii="宋体" w:hAnsi="宋体" w:eastAsia="宋体" w:cs="宋体"/>
          <w:sz w:val="24"/>
          <w:szCs w:val="24"/>
          <w:highlight w:val="none"/>
        </w:rPr>
        <w:t>官网</w:t>
      </w:r>
    </w:p>
    <w:p w14:paraId="091478BF">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方式：自行下载获取谈判文件</w:t>
      </w:r>
    </w:p>
    <w:p w14:paraId="23CB42D0">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售价：</w:t>
      </w:r>
      <w:r>
        <w:rPr>
          <w:rFonts w:hint="eastAsia" w:ascii="宋体" w:hAnsi="宋体" w:eastAsia="宋体" w:cs="宋体"/>
          <w:sz w:val="24"/>
          <w:szCs w:val="24"/>
          <w:highlight w:val="none"/>
          <w:u w:val="single"/>
        </w:rPr>
        <w:t>0</w:t>
      </w:r>
      <w:r>
        <w:rPr>
          <w:rFonts w:hint="eastAsia" w:ascii="宋体" w:hAnsi="宋体" w:eastAsia="宋体" w:cs="宋体"/>
          <w:sz w:val="24"/>
          <w:szCs w:val="24"/>
          <w:highlight w:val="none"/>
        </w:rPr>
        <w:t>元人民币</w:t>
      </w:r>
    </w:p>
    <w:p w14:paraId="24A9785C">
      <w:pPr>
        <w:pStyle w:val="41"/>
        <w:spacing w:before="0" w:beforeLines="0" w:line="460" w:lineRule="exact"/>
        <w:rPr>
          <w:rFonts w:hint="eastAsia" w:ascii="宋体" w:hAnsi="宋体" w:eastAsia="宋体" w:cs="宋体"/>
          <w:highlight w:val="none"/>
        </w:rPr>
      </w:pPr>
      <w:bookmarkStart w:id="15" w:name="_Toc14264"/>
      <w:r>
        <w:rPr>
          <w:rFonts w:hint="eastAsia" w:ascii="宋体" w:hAnsi="宋体" w:eastAsia="宋体" w:cs="宋体"/>
          <w:highlight w:val="none"/>
        </w:rPr>
        <w:t>四、提交响应文件截止时间、谈判时间和地点：</w:t>
      </w:r>
      <w:bookmarkEnd w:id="15"/>
    </w:p>
    <w:p w14:paraId="37196354">
      <w:pPr>
        <w:spacing w:line="460" w:lineRule="exact"/>
        <w:ind w:firstLine="600" w:firstLineChars="250"/>
        <w:jc w:val="left"/>
        <w:rPr>
          <w:rFonts w:hint="default" w:ascii="宋体" w:hAnsi="宋体" w:eastAsia="宋体" w:cs="宋体"/>
          <w:bCs/>
          <w:sz w:val="24"/>
          <w:highlight w:val="none"/>
          <w:lang w:val="en-US" w:eastAsia="zh-CN"/>
        </w:rPr>
      </w:pPr>
      <w:bookmarkStart w:id="16" w:name="_Toc28359007"/>
      <w:bookmarkStart w:id="17" w:name="_Toc28359084"/>
      <w:bookmarkStart w:id="18" w:name="_Toc12960"/>
      <w:bookmarkStart w:id="19" w:name="_Toc35393625"/>
      <w:bookmarkStart w:id="20" w:name="_Toc35393794"/>
      <w:r>
        <w:rPr>
          <w:rFonts w:hint="eastAsia" w:ascii="宋体" w:hAnsi="宋体" w:eastAsia="宋体" w:cs="宋体"/>
          <w:bCs/>
          <w:sz w:val="24"/>
          <w:highlight w:val="none"/>
        </w:rPr>
        <w:t>谈判时间：</w:t>
      </w:r>
      <w:r>
        <w:rPr>
          <w:rFonts w:hint="eastAsia" w:ascii="宋体" w:hAnsi="宋体" w:cs="宋体"/>
          <w:bCs/>
          <w:sz w:val="24"/>
          <w:highlight w:val="none"/>
          <w:lang w:eastAsia="zh-CN"/>
        </w:rPr>
        <w:t>2025年11月28日</w:t>
      </w:r>
      <w:r>
        <w:rPr>
          <w:rFonts w:hint="eastAsia" w:ascii="宋体" w:hAnsi="宋体" w:eastAsia="宋体" w:cs="宋体"/>
          <w:bCs/>
          <w:sz w:val="24"/>
          <w:highlight w:val="none"/>
        </w:rPr>
        <w:t>10点</w:t>
      </w:r>
      <w:r>
        <w:rPr>
          <w:rFonts w:hint="eastAsia" w:ascii="宋体" w:hAnsi="宋体" w:cs="宋体"/>
          <w:bCs/>
          <w:sz w:val="24"/>
          <w:highlight w:val="none"/>
          <w:lang w:val="en-US" w:eastAsia="zh-CN"/>
        </w:rPr>
        <w:t>00分</w:t>
      </w:r>
    </w:p>
    <w:p w14:paraId="31E371DE">
      <w:pPr>
        <w:spacing w:line="4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谈判地点：抚州市公共资源交易中心东乡分中心（地址：东乡区政务服务中心大楼4楼（状元路以北、华芸路以东、区行政中心后面） </w:t>
      </w:r>
    </w:p>
    <w:p w14:paraId="78F98C23">
      <w:pPr>
        <w:pStyle w:val="41"/>
        <w:spacing w:before="0" w:beforeLines="0" w:line="460" w:lineRule="exact"/>
        <w:rPr>
          <w:rFonts w:hint="eastAsia" w:ascii="宋体" w:hAnsi="宋体" w:eastAsia="宋体" w:cs="宋体"/>
          <w:highlight w:val="none"/>
        </w:rPr>
      </w:pPr>
      <w:bookmarkStart w:id="21" w:name="_Toc2440"/>
      <w:r>
        <w:rPr>
          <w:rFonts w:hint="eastAsia" w:ascii="宋体" w:hAnsi="宋体" w:eastAsia="宋体" w:cs="宋体"/>
          <w:highlight w:val="none"/>
        </w:rPr>
        <w:t>五、公告期限</w:t>
      </w:r>
      <w:bookmarkEnd w:id="16"/>
      <w:bookmarkEnd w:id="17"/>
      <w:bookmarkEnd w:id="18"/>
      <w:bookmarkEnd w:id="19"/>
      <w:bookmarkEnd w:id="20"/>
      <w:bookmarkEnd w:id="21"/>
    </w:p>
    <w:p w14:paraId="145D238F">
      <w:pPr>
        <w:pStyle w:val="45"/>
        <w:spacing w:line="460" w:lineRule="exact"/>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2AB37F0E">
      <w:pPr>
        <w:pStyle w:val="41"/>
        <w:spacing w:before="0" w:beforeLines="0" w:line="460" w:lineRule="exact"/>
        <w:rPr>
          <w:rFonts w:hint="eastAsia" w:ascii="宋体" w:hAnsi="宋体" w:eastAsia="宋体" w:cs="宋体"/>
          <w:highlight w:val="none"/>
        </w:rPr>
      </w:pPr>
      <w:bookmarkStart w:id="22" w:name="_Toc28359008"/>
      <w:bookmarkStart w:id="23" w:name="_Toc35393627"/>
      <w:bookmarkStart w:id="24" w:name="_Toc9616"/>
      <w:bookmarkStart w:id="25" w:name="_Toc35393796"/>
      <w:bookmarkStart w:id="26" w:name="_Toc28359085"/>
      <w:bookmarkStart w:id="27" w:name="_Toc25456"/>
      <w:r>
        <w:rPr>
          <w:rFonts w:hint="eastAsia" w:ascii="宋体" w:hAnsi="宋体" w:eastAsia="宋体" w:cs="宋体"/>
          <w:highlight w:val="none"/>
        </w:rPr>
        <w:t>六、对本次采购提出询问，请按以下方式联系</w:t>
      </w:r>
      <w:bookmarkEnd w:id="22"/>
      <w:bookmarkEnd w:id="23"/>
      <w:bookmarkEnd w:id="24"/>
      <w:bookmarkEnd w:id="25"/>
      <w:bookmarkEnd w:id="26"/>
      <w:bookmarkEnd w:id="27"/>
    </w:p>
    <w:p w14:paraId="53E41C26">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64B7BDE7">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    称：抚州市东乡区工创投物资有限公司</w:t>
      </w:r>
    </w:p>
    <w:p w14:paraId="368ADE47">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    址：抚州市东乡经济开发区东山工业园</w:t>
      </w:r>
    </w:p>
    <w:p w14:paraId="3C9894AA">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联系方式：朱先生 0794-4226816</w:t>
      </w:r>
    </w:p>
    <w:p w14:paraId="17149682">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2.采购代理机构信息</w:t>
      </w:r>
    </w:p>
    <w:p w14:paraId="1D71DC7F">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 称：江西北涛建设工程咨询有限公司</w:t>
      </w:r>
    </w:p>
    <w:p w14:paraId="41027767">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　址：江西省南昌市东湖区二七北路185号东晖育才苑6栋1602室</w:t>
      </w:r>
    </w:p>
    <w:p w14:paraId="7029F1FE">
      <w:pPr>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项目联系人：</w:t>
      </w:r>
      <w:r>
        <w:rPr>
          <w:rFonts w:hint="eastAsia" w:ascii="宋体" w:hAnsi="宋体" w:eastAsia="宋体" w:cs="宋体"/>
          <w:sz w:val="24"/>
          <w:szCs w:val="24"/>
          <w:highlight w:val="none"/>
          <w:lang w:val="en-US" w:eastAsia="zh-CN"/>
        </w:rPr>
        <w:t>江先生</w:t>
      </w:r>
    </w:p>
    <w:p w14:paraId="3E2702BA">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　话：18970029963</w:t>
      </w:r>
    </w:p>
    <w:p w14:paraId="7E7CCFF7">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电子函件：21809631@qq.com</w:t>
      </w:r>
    </w:p>
    <w:p w14:paraId="61A08193">
      <w:pPr>
        <w:spacing w:line="460" w:lineRule="exact"/>
        <w:ind w:firstLine="480" w:firstLineChars="200"/>
        <w:rPr>
          <w:rFonts w:hint="eastAsia" w:ascii="宋体" w:hAnsi="宋体" w:eastAsia="宋体" w:cs="宋体"/>
          <w:sz w:val="24"/>
          <w:szCs w:val="24"/>
          <w:highlight w:val="none"/>
          <w:lang w:eastAsia="zh-CN"/>
        </w:rPr>
      </w:pPr>
    </w:p>
    <w:p w14:paraId="361A2DB7">
      <w:pPr>
        <w:rPr>
          <w:rFonts w:hint="eastAsia" w:ascii="宋体" w:hAnsi="宋体" w:eastAsia="宋体" w:cs="宋体"/>
          <w:bCs/>
          <w:sz w:val="24"/>
          <w:szCs w:val="24"/>
          <w:highlight w:val="none"/>
        </w:rPr>
      </w:pPr>
    </w:p>
    <w:p w14:paraId="36C4F15C">
      <w:pPr>
        <w:rPr>
          <w:rFonts w:hint="eastAsia" w:ascii="宋体" w:hAnsi="宋体" w:eastAsia="宋体" w:cs="宋体"/>
          <w:bCs/>
          <w:sz w:val="24"/>
          <w:szCs w:val="24"/>
          <w:highlight w:val="none"/>
        </w:rPr>
      </w:pPr>
    </w:p>
    <w:p w14:paraId="3F34AC90">
      <w:pPr>
        <w:rPr>
          <w:rFonts w:hint="eastAsia" w:ascii="宋体" w:hAnsi="宋体" w:eastAsia="宋体" w:cs="宋体"/>
          <w:highlight w:val="none"/>
        </w:rPr>
      </w:pPr>
    </w:p>
    <w:p w14:paraId="147E0A65">
      <w:pPr>
        <w:widowControl/>
        <w:jc w:val="left"/>
        <w:rPr>
          <w:rFonts w:hint="eastAsia" w:ascii="宋体" w:hAnsi="宋体" w:eastAsia="宋体" w:cs="宋体"/>
          <w:highlight w:val="none"/>
        </w:rPr>
      </w:pPr>
      <w:r>
        <w:rPr>
          <w:rFonts w:hint="eastAsia" w:ascii="宋体" w:hAnsi="宋体" w:eastAsia="宋体" w:cs="宋体"/>
          <w:highlight w:val="none"/>
        </w:rPr>
        <w:br w:type="page"/>
      </w:r>
    </w:p>
    <w:p w14:paraId="18AFEE74">
      <w:pPr>
        <w:pStyle w:val="40"/>
        <w:rPr>
          <w:rFonts w:hint="eastAsia" w:ascii="宋体" w:hAnsi="宋体" w:eastAsia="宋体" w:cs="宋体"/>
          <w:highlight w:val="none"/>
        </w:rPr>
      </w:pPr>
      <w:bookmarkStart w:id="28" w:name="_Toc29314"/>
      <w:r>
        <w:rPr>
          <w:rFonts w:hint="eastAsia" w:ascii="宋体" w:hAnsi="宋体" w:eastAsia="宋体" w:cs="宋体"/>
          <w:highlight w:val="none"/>
        </w:rPr>
        <w:t>第二章  供应商须知</w:t>
      </w:r>
      <w:bookmarkEnd w:id="28"/>
    </w:p>
    <w:p w14:paraId="71BE0913">
      <w:pPr>
        <w:pStyle w:val="42"/>
        <w:spacing w:before="240"/>
        <w:rPr>
          <w:rFonts w:hint="eastAsia" w:ascii="宋体" w:hAnsi="宋体" w:eastAsia="宋体" w:cs="宋体"/>
          <w:highlight w:val="none"/>
        </w:rPr>
      </w:pPr>
      <w:bookmarkStart w:id="29" w:name="_Toc26679"/>
      <w:bookmarkStart w:id="30" w:name="_Toc220257383"/>
      <w:bookmarkStart w:id="31" w:name="_Toc220403898"/>
      <w:bookmarkStart w:id="32" w:name="_Toc221335709"/>
      <w:r>
        <w:rPr>
          <w:rFonts w:hint="eastAsia" w:ascii="宋体" w:hAnsi="宋体" w:eastAsia="宋体" w:cs="宋体"/>
          <w:highlight w:val="none"/>
        </w:rPr>
        <w:t>一、供应商须知前附表</w:t>
      </w:r>
      <w:bookmarkEnd w:id="29"/>
      <w:bookmarkEnd w:id="30"/>
      <w:bookmarkEnd w:id="31"/>
      <w:bookmarkEnd w:id="32"/>
    </w:p>
    <w:tbl>
      <w:tblPr>
        <w:tblStyle w:val="17"/>
        <w:tblW w:w="10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076"/>
        <w:gridCol w:w="4211"/>
        <w:gridCol w:w="3979"/>
      </w:tblGrid>
      <w:tr w14:paraId="474E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tcPr>
          <w:p w14:paraId="15354864">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076" w:type="dxa"/>
          </w:tcPr>
          <w:p w14:paraId="0ACDA46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8190" w:type="dxa"/>
            <w:gridSpan w:val="2"/>
          </w:tcPr>
          <w:p w14:paraId="04936AB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r>
      <w:tr w14:paraId="3494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67227C3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76" w:type="dxa"/>
            <w:vAlign w:val="center"/>
          </w:tcPr>
          <w:p w14:paraId="762EBEC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8190" w:type="dxa"/>
            <w:gridSpan w:val="2"/>
            <w:vAlign w:val="center"/>
          </w:tcPr>
          <w:p w14:paraId="3001B8D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项目名称及项目编号：详见“第一章谈判邀请”</w:t>
            </w:r>
          </w:p>
        </w:tc>
      </w:tr>
      <w:tr w14:paraId="2192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2106DDD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76" w:type="dxa"/>
            <w:vAlign w:val="center"/>
          </w:tcPr>
          <w:p w14:paraId="500A809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8190" w:type="dxa"/>
            <w:gridSpan w:val="2"/>
            <w:vAlign w:val="center"/>
          </w:tcPr>
          <w:p w14:paraId="71AFA0F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采购人名称：详见“第一章谈判邀请”</w:t>
            </w:r>
          </w:p>
        </w:tc>
      </w:tr>
      <w:tr w14:paraId="375B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0F8A448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76" w:type="dxa"/>
            <w:vAlign w:val="center"/>
          </w:tcPr>
          <w:p w14:paraId="7BA4D4D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8190" w:type="dxa"/>
            <w:gridSpan w:val="2"/>
            <w:vAlign w:val="center"/>
          </w:tcPr>
          <w:p w14:paraId="66CF097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采购代理机构：详见“第一章谈判邀请”</w:t>
            </w:r>
          </w:p>
        </w:tc>
      </w:tr>
      <w:tr w14:paraId="72B1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1869DED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076" w:type="dxa"/>
            <w:vAlign w:val="center"/>
          </w:tcPr>
          <w:p w14:paraId="0C903AB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3.2.1</w:t>
            </w:r>
          </w:p>
        </w:tc>
        <w:tc>
          <w:tcPr>
            <w:tcW w:w="8190" w:type="dxa"/>
            <w:gridSpan w:val="2"/>
          </w:tcPr>
          <w:p w14:paraId="1E770FB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本项目是否接受联合体参加竞争性谈判：详见“第一章谈判邀请”</w:t>
            </w:r>
          </w:p>
        </w:tc>
      </w:tr>
      <w:tr w14:paraId="43CD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42525F0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076" w:type="dxa"/>
            <w:vAlign w:val="center"/>
          </w:tcPr>
          <w:p w14:paraId="6EAA69F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190" w:type="dxa"/>
            <w:gridSpan w:val="2"/>
          </w:tcPr>
          <w:p w14:paraId="494CBE0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供应商应当提交的资格、资信证明文件</w:t>
            </w:r>
          </w:p>
        </w:tc>
      </w:tr>
      <w:tr w14:paraId="077A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75" w:type="dxa"/>
            <w:vAlign w:val="center"/>
          </w:tcPr>
          <w:p w14:paraId="214B1546">
            <w:pPr>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p>
        </w:tc>
        <w:tc>
          <w:tcPr>
            <w:tcW w:w="1076" w:type="dxa"/>
            <w:vAlign w:val="center"/>
          </w:tcPr>
          <w:p w14:paraId="3732478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8190" w:type="dxa"/>
            <w:gridSpan w:val="2"/>
            <w:vAlign w:val="center"/>
          </w:tcPr>
          <w:p w14:paraId="192658A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谈判保证金：</w:t>
            </w:r>
          </w:p>
          <w:p w14:paraId="03E28E8A">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招标人指定帐户，不能提交现金。</w:t>
            </w:r>
          </w:p>
          <w:p w14:paraId="7CE27624">
            <w:pPr>
              <w:spacing w:line="360" w:lineRule="auto"/>
              <w:rPr>
                <w:rFonts w:hint="eastAsia" w:ascii="宋体" w:hAnsi="宋体" w:eastAsia="宋体" w:cs="宋体"/>
                <w:b/>
                <w:bCs/>
                <w:sz w:val="24"/>
                <w:highlight w:val="none"/>
              </w:rPr>
            </w:pPr>
            <w:r>
              <w:rPr>
                <w:rFonts w:hint="eastAsia" w:ascii="宋体" w:hAnsi="宋体" w:eastAsia="宋体" w:cs="宋体"/>
                <w:b/>
                <w:sz w:val="24"/>
                <w:highlight w:val="none"/>
              </w:rPr>
              <w:t>谈判保证金:</w:t>
            </w:r>
            <w:r>
              <w:rPr>
                <w:rFonts w:hint="eastAsia" w:ascii="宋体" w:hAnsi="宋体" w:eastAsia="宋体" w:cs="宋体"/>
                <w:b/>
                <w:bCs/>
                <w:sz w:val="24"/>
                <w:highlight w:val="none"/>
              </w:rPr>
              <w:t>人民币</w:t>
            </w:r>
            <w:r>
              <w:rPr>
                <w:rFonts w:hint="eastAsia" w:ascii="宋体" w:hAnsi="宋体" w:cs="宋体"/>
                <w:b/>
                <w:bCs/>
                <w:sz w:val="24"/>
                <w:highlight w:val="none"/>
                <w:lang w:val="en-US" w:eastAsia="zh-CN"/>
              </w:rPr>
              <w:t>壹</w:t>
            </w:r>
            <w:r>
              <w:rPr>
                <w:rFonts w:hint="eastAsia" w:ascii="宋体" w:hAnsi="宋体" w:eastAsia="宋体" w:cs="宋体"/>
                <w:b/>
                <w:bCs/>
                <w:sz w:val="24"/>
                <w:highlight w:val="none"/>
                <w:lang w:val="en-US" w:eastAsia="zh-CN"/>
              </w:rPr>
              <w:t>万</w:t>
            </w:r>
            <w:r>
              <w:rPr>
                <w:rFonts w:hint="eastAsia" w:ascii="宋体" w:hAnsi="宋体" w:eastAsia="宋体" w:cs="宋体"/>
                <w:b/>
                <w:bCs/>
                <w:sz w:val="24"/>
                <w:highlight w:val="none"/>
              </w:rPr>
              <w:t>元整（小写：</w:t>
            </w:r>
            <w:r>
              <w:rPr>
                <w:rFonts w:hint="eastAsia" w:ascii="宋体" w:hAnsi="宋体" w:cs="宋体"/>
                <w:b/>
                <w:bCs/>
                <w:sz w:val="24"/>
                <w:highlight w:val="none"/>
                <w:lang w:val="en-US" w:eastAsia="zh-CN"/>
              </w:rPr>
              <w:t>10</w:t>
            </w:r>
            <w:r>
              <w:rPr>
                <w:rFonts w:hint="eastAsia" w:ascii="宋体" w:hAnsi="宋体" w:eastAsia="宋体" w:cs="宋体"/>
                <w:b/>
                <w:bCs/>
                <w:sz w:val="24"/>
                <w:highlight w:val="none"/>
              </w:rPr>
              <w:t xml:space="preserve">000.00元）； </w:t>
            </w:r>
          </w:p>
          <w:p w14:paraId="11A3B8D6">
            <w:pPr>
              <w:spacing w:line="360" w:lineRule="auto"/>
              <w:rPr>
                <w:rFonts w:hint="eastAsia" w:ascii="宋体" w:hAnsi="宋体" w:eastAsia="宋体" w:cs="宋体"/>
                <w:b/>
                <w:sz w:val="24"/>
                <w:szCs w:val="24"/>
                <w:highlight w:val="none"/>
              </w:rPr>
            </w:pPr>
            <w:r>
              <w:rPr>
                <w:rFonts w:hint="eastAsia" w:ascii="宋体" w:hAnsi="宋体" w:eastAsia="宋体" w:cs="宋体"/>
                <w:b/>
                <w:sz w:val="24"/>
                <w:highlight w:val="none"/>
              </w:rPr>
              <w:t>谈判保证金转入账户：</w:t>
            </w:r>
            <w:r>
              <w:rPr>
                <w:rFonts w:hint="eastAsia" w:ascii="宋体" w:hAnsi="宋体" w:eastAsia="宋体" w:cs="宋体"/>
                <w:b/>
                <w:sz w:val="24"/>
                <w:szCs w:val="24"/>
                <w:highlight w:val="none"/>
              </w:rPr>
              <w:t xml:space="preserve"> </w:t>
            </w:r>
          </w:p>
          <w:p w14:paraId="16267035">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1.账户名：抚州市公共资源交易中心东乡分中心</w:t>
            </w:r>
          </w:p>
          <w:p w14:paraId="42BCB59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开户行：工商银行东乡支行 </w:t>
            </w:r>
          </w:p>
          <w:p w14:paraId="5E6AF2C8">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银行账号：1511207029200052687</w:t>
            </w:r>
          </w:p>
          <w:p w14:paraId="3384822F">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2.账户名：抚州市公共资源交易中心东乡分中心</w:t>
            </w:r>
          </w:p>
          <w:p w14:paraId="4333332A">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开户行：农业银行东乡支行</w:t>
            </w:r>
          </w:p>
          <w:p w14:paraId="66699288">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银行账号：14-055101040023616  </w:t>
            </w:r>
          </w:p>
          <w:p w14:paraId="260B800A">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3.账户名：抚州市公共资源交易中心东乡分中心</w:t>
            </w:r>
          </w:p>
          <w:p w14:paraId="5784AF02">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开户行：中国银行东乡支行</w:t>
            </w:r>
          </w:p>
          <w:p w14:paraId="564A0EA3">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银行账号：194717127051</w:t>
            </w:r>
          </w:p>
          <w:p w14:paraId="3C9844BE">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4.账户名：抚州市公共资源交易中心东乡分中心</w:t>
            </w:r>
          </w:p>
          <w:p w14:paraId="54A7FE3F">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开户行：建设银行东乡支行</w:t>
            </w:r>
          </w:p>
          <w:p w14:paraId="071A6839">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帐号：36001551210052503110</w:t>
            </w:r>
          </w:p>
          <w:p w14:paraId="3800F813">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5.账户名：抚州市公共资源交易中心东乡分中心</w:t>
            </w:r>
          </w:p>
          <w:p w14:paraId="37154A7F">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开户行：上饶银行东乡支行</w:t>
            </w:r>
          </w:p>
          <w:p w14:paraId="58770C1E">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帐号：206603110000000178</w:t>
            </w:r>
          </w:p>
          <w:p w14:paraId="2B4E163A">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凭证请注明“项目名称”字样；未按要求汇出到账或标注不清，影响谈判的，由谈判人自行负责。</w:t>
            </w:r>
          </w:p>
          <w:p w14:paraId="0DF72F2B">
            <w:pPr>
              <w:spacing w:line="360" w:lineRule="auto"/>
              <w:rPr>
                <w:rFonts w:hint="eastAsia" w:ascii="宋体" w:hAnsi="宋体" w:eastAsia="宋体" w:cs="宋体"/>
                <w:b/>
                <w:sz w:val="24"/>
                <w:highlight w:val="none"/>
              </w:rPr>
            </w:pPr>
            <w:r>
              <w:rPr>
                <w:rFonts w:hint="eastAsia" w:ascii="宋体" w:hAnsi="宋体" w:eastAsia="宋体" w:cs="宋体"/>
                <w:b/>
                <w:sz w:val="24"/>
                <w:szCs w:val="24"/>
                <w:highlight w:val="none"/>
              </w:rPr>
              <w:t>备注：已转账谈判保证金的潜在谈判人因特殊情况放弃本次谈判，须在谈判截止时间前书面通知招标代理；否则列入黑名单，一年内禁止其参与</w:t>
            </w:r>
            <w:r>
              <w:rPr>
                <w:rFonts w:hint="eastAsia" w:ascii="宋体" w:hAnsi="宋体" w:eastAsia="宋体" w:cs="宋体"/>
                <w:b/>
                <w:sz w:val="24"/>
                <w:szCs w:val="24"/>
                <w:highlight w:val="none"/>
                <w:lang w:eastAsia="zh-CN"/>
              </w:rPr>
              <w:t>抚州市东乡区工创投物资有限公司</w:t>
            </w:r>
            <w:r>
              <w:rPr>
                <w:rFonts w:hint="eastAsia" w:ascii="宋体" w:hAnsi="宋体" w:eastAsia="宋体" w:cs="宋体"/>
                <w:b/>
                <w:sz w:val="24"/>
                <w:szCs w:val="24"/>
                <w:highlight w:val="none"/>
              </w:rPr>
              <w:t>任何招谈判事宜。</w:t>
            </w:r>
            <w:r>
              <w:rPr>
                <w:rFonts w:hint="eastAsia" w:ascii="宋体" w:hAnsi="宋体" w:eastAsia="宋体" w:cs="宋体"/>
                <w:b/>
                <w:sz w:val="24"/>
                <w:highlight w:val="none"/>
              </w:rPr>
              <w:t xml:space="preserve"> </w:t>
            </w:r>
          </w:p>
        </w:tc>
      </w:tr>
      <w:tr w14:paraId="2F64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75" w:type="dxa"/>
            <w:shd w:val="clear" w:color="auto" w:fill="auto"/>
            <w:vAlign w:val="center"/>
          </w:tcPr>
          <w:p w14:paraId="3C3C06B8">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7</w:t>
            </w:r>
          </w:p>
        </w:tc>
        <w:tc>
          <w:tcPr>
            <w:tcW w:w="1076" w:type="dxa"/>
            <w:vAlign w:val="center"/>
          </w:tcPr>
          <w:p w14:paraId="0404814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8190" w:type="dxa"/>
            <w:gridSpan w:val="2"/>
          </w:tcPr>
          <w:p w14:paraId="29EC710F">
            <w:pPr>
              <w:spacing w:line="360" w:lineRule="auto"/>
              <w:rPr>
                <w:rFonts w:hint="eastAsia" w:ascii="宋体" w:hAnsi="宋体" w:eastAsia="宋体" w:cs="宋体"/>
                <w:b/>
                <w:sz w:val="24"/>
                <w:szCs w:val="24"/>
                <w:highlight w:val="none"/>
              </w:rPr>
            </w:pPr>
            <w:r>
              <w:rPr>
                <w:rFonts w:hint="eastAsia" w:ascii="宋体" w:hAnsi="宋体" w:eastAsia="宋体" w:cs="宋体"/>
                <w:sz w:val="24"/>
                <w:szCs w:val="24"/>
                <w:highlight w:val="none"/>
              </w:rPr>
              <w:t>谈判有效期：自谈判之日起</w:t>
            </w:r>
            <w:r>
              <w:rPr>
                <w:rFonts w:hint="eastAsia" w:ascii="宋体" w:hAnsi="宋体" w:eastAsia="宋体" w:cs="宋体"/>
                <w:sz w:val="24"/>
                <w:szCs w:val="24"/>
                <w:highlight w:val="none"/>
                <w:u w:val="single"/>
              </w:rPr>
              <w:t xml:space="preserve"> </w:t>
            </w:r>
            <w:r>
              <w:rPr>
                <w:rFonts w:hint="eastAsia" w:ascii="宋体" w:hAnsi="宋体" w:eastAsia="宋体" w:cs="宋体"/>
                <w:b/>
                <w:sz w:val="24"/>
                <w:szCs w:val="24"/>
                <w:highlight w:val="none"/>
                <w:u w:val="single"/>
              </w:rPr>
              <w:t xml:space="preserve">90 </w:t>
            </w:r>
            <w:r>
              <w:rPr>
                <w:rFonts w:hint="eastAsia" w:ascii="宋体" w:hAnsi="宋体" w:eastAsia="宋体" w:cs="宋体"/>
                <w:b/>
                <w:sz w:val="24"/>
                <w:szCs w:val="24"/>
                <w:highlight w:val="none"/>
              </w:rPr>
              <w:t>天</w:t>
            </w:r>
          </w:p>
        </w:tc>
      </w:tr>
      <w:tr w14:paraId="613F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5" w:type="dxa"/>
            <w:shd w:val="clear" w:color="auto" w:fill="auto"/>
            <w:vAlign w:val="center"/>
          </w:tcPr>
          <w:p w14:paraId="0FE6593B">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8</w:t>
            </w:r>
          </w:p>
        </w:tc>
        <w:tc>
          <w:tcPr>
            <w:tcW w:w="1076" w:type="dxa"/>
            <w:vAlign w:val="center"/>
          </w:tcPr>
          <w:p w14:paraId="2024C88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8190" w:type="dxa"/>
            <w:gridSpan w:val="2"/>
          </w:tcPr>
          <w:p w14:paraId="2DFD2510">
            <w:pPr>
              <w:spacing w:line="360" w:lineRule="auto"/>
              <w:ind w:left="567" w:hanging="567"/>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响应文件的份数：正本1份、 副本2份</w:t>
            </w:r>
          </w:p>
          <w:p w14:paraId="332CC1AB">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注：响应文件正、副本均须胶装</w:t>
            </w:r>
          </w:p>
        </w:tc>
      </w:tr>
      <w:tr w14:paraId="22A7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875" w:type="dxa"/>
            <w:shd w:val="clear" w:color="auto" w:fill="auto"/>
            <w:vAlign w:val="center"/>
          </w:tcPr>
          <w:p w14:paraId="0E2A752F">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9</w:t>
            </w:r>
          </w:p>
        </w:tc>
        <w:tc>
          <w:tcPr>
            <w:tcW w:w="1076" w:type="dxa"/>
            <w:vAlign w:val="center"/>
          </w:tcPr>
          <w:p w14:paraId="3EFBE62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8190" w:type="dxa"/>
            <w:gridSpan w:val="2"/>
            <w:vAlign w:val="center"/>
          </w:tcPr>
          <w:p w14:paraId="587187C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响应文件递交截止时间：详见“第一章谈判邀请”</w:t>
            </w:r>
          </w:p>
          <w:p w14:paraId="787DB9A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谈判时间：详见“第一章谈判邀请”</w:t>
            </w:r>
          </w:p>
          <w:p w14:paraId="5E2A6C6B">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谈判地点：详见“第一章谈判邀请”</w:t>
            </w:r>
          </w:p>
        </w:tc>
      </w:tr>
      <w:tr w14:paraId="52D0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75" w:type="dxa"/>
            <w:shd w:val="clear" w:color="auto" w:fill="auto"/>
            <w:vAlign w:val="center"/>
          </w:tcPr>
          <w:p w14:paraId="362BCA25">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10</w:t>
            </w:r>
          </w:p>
        </w:tc>
        <w:tc>
          <w:tcPr>
            <w:tcW w:w="1076" w:type="dxa"/>
            <w:vAlign w:val="center"/>
          </w:tcPr>
          <w:p w14:paraId="3B716B44">
            <w:pPr>
              <w:spacing w:line="360" w:lineRule="auto"/>
              <w:jc w:val="center"/>
              <w:rPr>
                <w:rFonts w:hint="eastAsia" w:ascii="宋体" w:hAnsi="宋体" w:eastAsia="宋体" w:cs="宋体"/>
                <w:dstrike/>
                <w:sz w:val="24"/>
                <w:szCs w:val="24"/>
                <w:highlight w:val="none"/>
              </w:rPr>
            </w:pPr>
            <w:r>
              <w:rPr>
                <w:rFonts w:hint="eastAsia" w:ascii="宋体" w:hAnsi="宋体" w:eastAsia="宋体" w:cs="宋体"/>
                <w:sz w:val="24"/>
                <w:szCs w:val="24"/>
                <w:highlight w:val="none"/>
              </w:rPr>
              <w:t>26</w:t>
            </w:r>
          </w:p>
        </w:tc>
        <w:tc>
          <w:tcPr>
            <w:tcW w:w="8190" w:type="dxa"/>
            <w:gridSpan w:val="2"/>
            <w:vAlign w:val="center"/>
          </w:tcPr>
          <w:p w14:paraId="76223928">
            <w:pPr>
              <w:adjustRightInd w:val="0"/>
              <w:snapToGrid w:val="0"/>
              <w:spacing w:line="360" w:lineRule="auto"/>
              <w:rPr>
                <w:rFonts w:hint="eastAsia" w:ascii="宋体" w:hAnsi="宋体" w:eastAsia="宋体" w:cs="宋体"/>
                <w:b/>
                <w:sz w:val="24"/>
                <w:szCs w:val="24"/>
                <w:highlight w:val="none"/>
                <w:lang w:val="en-GB"/>
              </w:rPr>
            </w:pPr>
            <w:r>
              <w:rPr>
                <w:rFonts w:hint="eastAsia" w:ascii="宋体" w:hAnsi="宋体" w:eastAsia="宋体" w:cs="宋体"/>
                <w:b/>
                <w:sz w:val="24"/>
                <w:szCs w:val="24"/>
                <w:highlight w:val="none"/>
                <w:lang w:val="en-GB"/>
              </w:rPr>
              <w:t>成交标准：</w:t>
            </w:r>
          </w:p>
          <w:p w14:paraId="1BAF0F52">
            <w:pPr>
              <w:adjustRightInd w:val="0"/>
              <w:snapToGrid w:val="0"/>
              <w:spacing w:line="360" w:lineRule="auto"/>
              <w:ind w:firstLine="482" w:firstLineChars="200"/>
              <w:rPr>
                <w:rFonts w:hint="eastAsia" w:ascii="宋体" w:hAnsi="宋体" w:eastAsia="宋体" w:cs="宋体"/>
                <w:dstrike/>
                <w:sz w:val="24"/>
                <w:szCs w:val="24"/>
                <w:highlight w:val="none"/>
              </w:rPr>
            </w:pPr>
            <w:r>
              <w:rPr>
                <w:rFonts w:hint="eastAsia" w:ascii="宋体" w:hAnsi="宋体" w:eastAsia="宋体" w:cs="宋体"/>
                <w:b/>
                <w:sz w:val="24"/>
                <w:szCs w:val="24"/>
                <w:highlight w:val="none"/>
                <w:lang w:val="en-GB"/>
              </w:rPr>
              <w:t>根据质量和服务均能满足竞争性谈判文件实质性响应要求且最后报价最低的原则确定成交供应商。</w:t>
            </w:r>
          </w:p>
        </w:tc>
      </w:tr>
      <w:tr w14:paraId="753F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75" w:type="dxa"/>
            <w:shd w:val="clear" w:color="auto" w:fill="auto"/>
            <w:vAlign w:val="center"/>
          </w:tcPr>
          <w:p w14:paraId="4B9B438B">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11</w:t>
            </w:r>
          </w:p>
        </w:tc>
        <w:tc>
          <w:tcPr>
            <w:tcW w:w="1076" w:type="dxa"/>
            <w:vAlign w:val="center"/>
          </w:tcPr>
          <w:p w14:paraId="162C4B1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33</w:t>
            </w:r>
          </w:p>
        </w:tc>
        <w:tc>
          <w:tcPr>
            <w:tcW w:w="8190" w:type="dxa"/>
            <w:gridSpan w:val="2"/>
            <w:vAlign w:val="center"/>
          </w:tcPr>
          <w:p w14:paraId="6F89FD7B">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33.1履约保证金金额：</w:t>
            </w:r>
            <w:r>
              <w:rPr>
                <w:rFonts w:hint="eastAsia" w:ascii="宋体" w:hAnsi="宋体" w:eastAsia="宋体" w:cs="宋体"/>
                <w:bCs/>
                <w:sz w:val="24"/>
                <w:szCs w:val="24"/>
                <w:highlight w:val="none"/>
              </w:rPr>
              <w:t>合同金额的10%，在签订合同前将履约保证金一次性转入招标人指定账户，供货安装完成并验收合格后，中标人进行申请，7个工作日后一次性无息返还履约保证金。</w:t>
            </w:r>
          </w:p>
        </w:tc>
      </w:tr>
      <w:tr w14:paraId="2462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5" w:type="dxa"/>
            <w:vMerge w:val="restart"/>
            <w:shd w:val="clear" w:color="auto" w:fill="auto"/>
            <w:vAlign w:val="center"/>
          </w:tcPr>
          <w:p w14:paraId="43ABFCC9">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12</w:t>
            </w:r>
          </w:p>
        </w:tc>
        <w:tc>
          <w:tcPr>
            <w:tcW w:w="1076" w:type="dxa"/>
            <w:vMerge w:val="restart"/>
            <w:vAlign w:val="center"/>
          </w:tcPr>
          <w:p w14:paraId="4D8480F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37</w:t>
            </w:r>
          </w:p>
        </w:tc>
        <w:tc>
          <w:tcPr>
            <w:tcW w:w="8190" w:type="dxa"/>
            <w:gridSpan w:val="2"/>
            <w:vAlign w:val="center"/>
          </w:tcPr>
          <w:p w14:paraId="37DCB577">
            <w:pPr>
              <w:spacing w:line="360" w:lineRule="auto"/>
              <w:ind w:left="1"/>
              <w:rPr>
                <w:rFonts w:hint="eastAsia" w:ascii="宋体" w:hAnsi="宋体" w:eastAsia="宋体" w:cs="宋体"/>
                <w:b/>
                <w:sz w:val="24"/>
                <w:szCs w:val="24"/>
                <w:highlight w:val="none"/>
              </w:rPr>
            </w:pPr>
            <w:r>
              <w:rPr>
                <w:rFonts w:hint="eastAsia" w:ascii="宋体" w:hAnsi="宋体" w:eastAsia="宋体" w:cs="宋体"/>
                <w:sz w:val="24"/>
                <w:szCs w:val="24"/>
                <w:highlight w:val="none"/>
              </w:rPr>
              <w:t>采购代理服务费：</w:t>
            </w:r>
            <w:r>
              <w:rPr>
                <w:rFonts w:hint="eastAsia" w:ascii="宋体" w:hAnsi="宋体" w:eastAsia="宋体" w:cs="宋体"/>
                <w:b/>
                <w:sz w:val="24"/>
                <w:szCs w:val="24"/>
                <w:highlight w:val="none"/>
              </w:rPr>
              <w:t>向中标人收取代理服务费。采购代理服务费按差额定率累进法计算收取，收费标准如下表所列：</w:t>
            </w:r>
          </w:p>
          <w:p w14:paraId="213197F7">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收费标准＝(中标金额×收费费率)</w:t>
            </w:r>
          </w:p>
        </w:tc>
      </w:tr>
      <w:tr w14:paraId="5BDA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875" w:type="dxa"/>
            <w:vMerge w:val="continue"/>
            <w:vAlign w:val="center"/>
          </w:tcPr>
          <w:p w14:paraId="4DB12337">
            <w:pPr>
              <w:spacing w:line="360" w:lineRule="auto"/>
              <w:rPr>
                <w:rFonts w:hint="eastAsia" w:ascii="宋体" w:hAnsi="宋体" w:eastAsia="宋体" w:cs="宋体"/>
                <w:highlight w:val="none"/>
              </w:rPr>
            </w:pPr>
          </w:p>
        </w:tc>
        <w:tc>
          <w:tcPr>
            <w:tcW w:w="1076" w:type="dxa"/>
            <w:vMerge w:val="continue"/>
            <w:vAlign w:val="center"/>
          </w:tcPr>
          <w:p w14:paraId="4AE0F0C1">
            <w:pPr>
              <w:spacing w:line="360" w:lineRule="auto"/>
              <w:rPr>
                <w:rFonts w:hint="eastAsia" w:ascii="宋体" w:hAnsi="宋体" w:eastAsia="宋体" w:cs="宋体"/>
                <w:highlight w:val="none"/>
              </w:rPr>
            </w:pPr>
          </w:p>
        </w:tc>
        <w:tc>
          <w:tcPr>
            <w:tcW w:w="4211" w:type="dxa"/>
            <w:vAlign w:val="center"/>
          </w:tcPr>
          <w:p w14:paraId="45EE111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中标金额（万元）</w:t>
            </w:r>
          </w:p>
        </w:tc>
        <w:tc>
          <w:tcPr>
            <w:tcW w:w="3979" w:type="dxa"/>
            <w:vAlign w:val="center"/>
          </w:tcPr>
          <w:p w14:paraId="51FCCA8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货物招标收费费率</w:t>
            </w:r>
          </w:p>
        </w:tc>
      </w:tr>
      <w:tr w14:paraId="3D2C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875" w:type="dxa"/>
            <w:vMerge w:val="continue"/>
            <w:vAlign w:val="center"/>
          </w:tcPr>
          <w:p w14:paraId="0A562370">
            <w:pPr>
              <w:spacing w:line="360" w:lineRule="auto"/>
              <w:rPr>
                <w:rFonts w:hint="eastAsia" w:ascii="宋体" w:hAnsi="宋体" w:eastAsia="宋体" w:cs="宋体"/>
                <w:highlight w:val="none"/>
              </w:rPr>
            </w:pPr>
          </w:p>
        </w:tc>
        <w:tc>
          <w:tcPr>
            <w:tcW w:w="1076" w:type="dxa"/>
            <w:vMerge w:val="continue"/>
            <w:vAlign w:val="center"/>
          </w:tcPr>
          <w:p w14:paraId="3A9D34B3">
            <w:pPr>
              <w:spacing w:line="360" w:lineRule="auto"/>
              <w:rPr>
                <w:rFonts w:hint="eastAsia" w:ascii="宋体" w:hAnsi="宋体" w:eastAsia="宋体" w:cs="宋体"/>
                <w:highlight w:val="none"/>
              </w:rPr>
            </w:pPr>
          </w:p>
        </w:tc>
        <w:tc>
          <w:tcPr>
            <w:tcW w:w="4211" w:type="dxa"/>
            <w:vAlign w:val="center"/>
          </w:tcPr>
          <w:p w14:paraId="00D50C1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100以下</w:t>
            </w:r>
          </w:p>
        </w:tc>
        <w:tc>
          <w:tcPr>
            <w:tcW w:w="3979" w:type="dxa"/>
            <w:vAlign w:val="center"/>
          </w:tcPr>
          <w:p w14:paraId="6BA19C4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r>
    </w:tbl>
    <w:p w14:paraId="6F7A7E82">
      <w:pPr>
        <w:widowControl/>
        <w:jc w:val="left"/>
        <w:rPr>
          <w:rFonts w:hint="eastAsia" w:ascii="宋体" w:hAnsi="宋体" w:eastAsia="宋体" w:cs="宋体"/>
          <w:b/>
          <w:bCs/>
          <w:sz w:val="24"/>
          <w:szCs w:val="32"/>
          <w:highlight w:val="none"/>
        </w:rPr>
      </w:pPr>
    </w:p>
    <w:p w14:paraId="298B850F">
      <w:pPr>
        <w:pStyle w:val="42"/>
        <w:spacing w:before="240"/>
        <w:rPr>
          <w:rFonts w:hint="eastAsia" w:ascii="宋体" w:hAnsi="宋体" w:eastAsia="宋体" w:cs="宋体"/>
          <w:highlight w:val="none"/>
        </w:rPr>
      </w:pPr>
    </w:p>
    <w:p w14:paraId="1D47959E">
      <w:pPr>
        <w:rPr>
          <w:rFonts w:hint="eastAsia" w:ascii="宋体" w:hAnsi="宋体" w:eastAsia="宋体" w:cs="宋体"/>
          <w:highlight w:val="none"/>
        </w:rPr>
      </w:pPr>
      <w:r>
        <w:rPr>
          <w:rFonts w:hint="eastAsia" w:ascii="宋体" w:hAnsi="宋体" w:eastAsia="宋体" w:cs="宋体"/>
          <w:highlight w:val="none"/>
        </w:rPr>
        <w:br w:type="page"/>
      </w:r>
    </w:p>
    <w:p w14:paraId="5E7340E9">
      <w:pPr>
        <w:pStyle w:val="42"/>
        <w:spacing w:before="240"/>
        <w:rPr>
          <w:rFonts w:hint="eastAsia" w:ascii="宋体" w:hAnsi="宋体" w:eastAsia="宋体" w:cs="宋体"/>
          <w:highlight w:val="none"/>
        </w:rPr>
      </w:pPr>
      <w:bookmarkStart w:id="33" w:name="_Toc29287"/>
      <w:r>
        <w:rPr>
          <w:rFonts w:hint="eastAsia" w:ascii="宋体" w:hAnsi="宋体" w:eastAsia="宋体" w:cs="宋体"/>
          <w:highlight w:val="none"/>
        </w:rPr>
        <w:t>二、说明</w:t>
      </w:r>
      <w:bookmarkEnd w:id="33"/>
    </w:p>
    <w:p w14:paraId="6B0E1C4C">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 适用范围</w:t>
      </w:r>
    </w:p>
    <w:p w14:paraId="4C2C0A8A">
      <w:pPr>
        <w:pStyle w:val="45"/>
        <w:rPr>
          <w:rFonts w:hint="eastAsia" w:ascii="宋体" w:hAnsi="宋体" w:eastAsia="宋体" w:cs="宋体"/>
          <w:highlight w:val="none"/>
        </w:rPr>
      </w:pPr>
      <w:r>
        <w:rPr>
          <w:rFonts w:hint="eastAsia" w:ascii="宋体" w:hAnsi="宋体" w:eastAsia="宋体" w:cs="宋体"/>
          <w:highlight w:val="none"/>
        </w:rPr>
        <w:t>本谈判文件仅适用于本“谈判邀请”中所述货物和有关服务的采购。</w:t>
      </w:r>
    </w:p>
    <w:p w14:paraId="0C004940">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 定义</w:t>
      </w:r>
    </w:p>
    <w:p w14:paraId="479A9C11">
      <w:pPr>
        <w:pStyle w:val="45"/>
        <w:rPr>
          <w:rFonts w:hint="eastAsia" w:ascii="宋体" w:hAnsi="宋体" w:eastAsia="宋体" w:cs="宋体"/>
          <w:highlight w:val="none"/>
        </w:rPr>
      </w:pPr>
      <w:r>
        <w:rPr>
          <w:rFonts w:hint="eastAsia" w:ascii="宋体" w:hAnsi="宋体" w:eastAsia="宋体" w:cs="宋体"/>
          <w:highlight w:val="none"/>
        </w:rPr>
        <w:t>2.1采购人：详见“供应商须知前附表”</w:t>
      </w:r>
    </w:p>
    <w:p w14:paraId="7D4E9F5E">
      <w:pPr>
        <w:pStyle w:val="45"/>
        <w:rPr>
          <w:rFonts w:hint="eastAsia" w:ascii="宋体" w:hAnsi="宋体" w:eastAsia="宋体" w:cs="宋体"/>
          <w:highlight w:val="none"/>
          <w:lang w:eastAsia="zh-CN"/>
        </w:rPr>
      </w:pPr>
      <w:r>
        <w:rPr>
          <w:rFonts w:hint="eastAsia" w:ascii="宋体" w:hAnsi="宋体" w:eastAsia="宋体" w:cs="宋体"/>
          <w:highlight w:val="none"/>
        </w:rPr>
        <w:t>2.2采购代理机构：</w:t>
      </w:r>
      <w:r>
        <w:rPr>
          <w:rFonts w:hint="eastAsia" w:ascii="宋体" w:hAnsi="宋体" w:eastAsia="宋体" w:cs="宋体"/>
          <w:highlight w:val="none"/>
          <w:lang w:eastAsia="zh-CN"/>
        </w:rPr>
        <w:t>江西北涛建设工程咨询有限公司</w:t>
      </w:r>
    </w:p>
    <w:p w14:paraId="41A21F16">
      <w:pPr>
        <w:pStyle w:val="45"/>
        <w:rPr>
          <w:rFonts w:hint="eastAsia" w:ascii="宋体" w:hAnsi="宋体" w:eastAsia="宋体" w:cs="宋体"/>
          <w:highlight w:val="none"/>
        </w:rPr>
      </w:pPr>
      <w:r>
        <w:rPr>
          <w:rFonts w:hint="eastAsia" w:ascii="宋体" w:hAnsi="宋体" w:eastAsia="宋体" w:cs="宋体"/>
          <w:highlight w:val="none"/>
        </w:rPr>
        <w:t>2.3供应商：是指向采购人提供“谈判邀请”中采购内容的法人、其它组织或者自然人。</w:t>
      </w:r>
    </w:p>
    <w:p w14:paraId="07B4A23C">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3. 合格供应商</w:t>
      </w:r>
    </w:p>
    <w:p w14:paraId="5E4A4244">
      <w:pPr>
        <w:pStyle w:val="45"/>
        <w:rPr>
          <w:rFonts w:hint="eastAsia" w:ascii="宋体" w:hAnsi="宋体" w:eastAsia="宋体" w:cs="宋体"/>
          <w:highlight w:val="none"/>
        </w:rPr>
      </w:pPr>
      <w:r>
        <w:rPr>
          <w:rFonts w:hint="eastAsia" w:ascii="宋体" w:hAnsi="宋体" w:eastAsia="宋体" w:cs="宋体"/>
          <w:highlight w:val="none"/>
        </w:rPr>
        <w:t>3.1供应商的资格条件：详见“谈判邀请”</w:t>
      </w:r>
    </w:p>
    <w:p w14:paraId="485A1084">
      <w:pPr>
        <w:pStyle w:val="45"/>
        <w:rPr>
          <w:rFonts w:hint="eastAsia" w:ascii="宋体" w:hAnsi="宋体" w:eastAsia="宋体" w:cs="宋体"/>
          <w:highlight w:val="none"/>
        </w:rPr>
      </w:pPr>
      <w:r>
        <w:rPr>
          <w:rFonts w:hint="eastAsia" w:ascii="宋体" w:hAnsi="宋体" w:eastAsia="宋体" w:cs="宋体"/>
          <w:highlight w:val="none"/>
        </w:rPr>
        <w:t>3.2 联合体参加谈判</w:t>
      </w:r>
    </w:p>
    <w:p w14:paraId="15B56808">
      <w:pPr>
        <w:pStyle w:val="45"/>
        <w:rPr>
          <w:rFonts w:hint="eastAsia" w:ascii="宋体" w:hAnsi="宋体" w:eastAsia="宋体" w:cs="宋体"/>
          <w:highlight w:val="none"/>
        </w:rPr>
      </w:pPr>
      <w:r>
        <w:rPr>
          <w:rFonts w:hint="eastAsia" w:ascii="宋体" w:hAnsi="宋体" w:eastAsia="宋体" w:cs="宋体"/>
          <w:highlight w:val="none"/>
        </w:rPr>
        <w:t>3.2.1是否接受联合体参加谈判：详见“谈判邀请”</w:t>
      </w:r>
    </w:p>
    <w:p w14:paraId="65C48FBD">
      <w:pPr>
        <w:pStyle w:val="45"/>
        <w:rPr>
          <w:rFonts w:hint="eastAsia" w:ascii="宋体" w:hAnsi="宋体" w:eastAsia="宋体" w:cs="宋体"/>
          <w:highlight w:val="none"/>
        </w:rPr>
      </w:pPr>
      <w:r>
        <w:rPr>
          <w:rFonts w:hint="eastAsia" w:ascii="宋体" w:hAnsi="宋体" w:eastAsia="宋体" w:cs="宋体"/>
          <w:highlight w:val="none"/>
        </w:rPr>
        <w:t>3.2.3联合体各方均应当满足相应的资格条件，项目中有特定资质要求的，联合体当中承担此项工作的供应商必须具备相应的资质。</w:t>
      </w:r>
    </w:p>
    <w:p w14:paraId="2EF2509E">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4. 谈判费用</w:t>
      </w:r>
    </w:p>
    <w:p w14:paraId="316F056B">
      <w:pPr>
        <w:pStyle w:val="45"/>
        <w:rPr>
          <w:rFonts w:hint="eastAsia" w:ascii="宋体" w:hAnsi="宋体" w:eastAsia="宋体" w:cs="宋体"/>
          <w:highlight w:val="none"/>
        </w:rPr>
      </w:pPr>
      <w:r>
        <w:rPr>
          <w:rFonts w:hint="eastAsia" w:ascii="宋体" w:hAnsi="宋体" w:eastAsia="宋体" w:cs="宋体"/>
          <w:highlight w:val="none"/>
        </w:rPr>
        <w:t>不论谈判的结果如何，供应商应自行承担所有与准备和参加谈判有关的全部费用。采购代理机构在任何情况下均无义务和责任承担这些费用。</w:t>
      </w:r>
    </w:p>
    <w:p w14:paraId="7817DA18">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5. 供应商代表</w:t>
      </w:r>
    </w:p>
    <w:p w14:paraId="7F7F43EF">
      <w:pPr>
        <w:pStyle w:val="45"/>
        <w:rPr>
          <w:rFonts w:hint="eastAsia" w:ascii="宋体" w:hAnsi="宋体" w:eastAsia="宋体" w:cs="宋体"/>
          <w:highlight w:val="none"/>
        </w:rPr>
      </w:pPr>
      <w:r>
        <w:rPr>
          <w:rFonts w:hint="eastAsia" w:ascii="宋体" w:hAnsi="宋体" w:eastAsia="宋体" w:cs="宋体"/>
          <w:highlight w:val="none"/>
        </w:rPr>
        <w:t>指全权代表供应商参加谈判活动并签署响应文件的人。如果供应商代表不是法定代表人，须持有《法定代表人授权书》（格式详见“第四章响应文件格式”）。</w:t>
      </w:r>
    </w:p>
    <w:p w14:paraId="50AECC1B">
      <w:pPr>
        <w:pStyle w:val="42"/>
        <w:spacing w:before="240"/>
        <w:rPr>
          <w:rFonts w:hint="eastAsia" w:ascii="宋体" w:hAnsi="宋体" w:eastAsia="宋体" w:cs="宋体"/>
          <w:highlight w:val="none"/>
        </w:rPr>
      </w:pPr>
      <w:bookmarkStart w:id="34" w:name="_Toc20254"/>
      <w:r>
        <w:rPr>
          <w:rFonts w:hint="eastAsia" w:ascii="宋体" w:hAnsi="宋体" w:eastAsia="宋体" w:cs="宋体"/>
          <w:highlight w:val="none"/>
        </w:rPr>
        <w:t>三、谈判文件</w:t>
      </w:r>
      <w:bookmarkEnd w:id="34"/>
    </w:p>
    <w:p w14:paraId="2BAF45C7">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6. 谈判文件构成</w:t>
      </w:r>
    </w:p>
    <w:p w14:paraId="5194803D">
      <w:pPr>
        <w:pStyle w:val="45"/>
        <w:rPr>
          <w:rFonts w:hint="eastAsia" w:ascii="宋体" w:hAnsi="宋体" w:eastAsia="宋体" w:cs="宋体"/>
          <w:highlight w:val="none"/>
        </w:rPr>
      </w:pPr>
      <w:r>
        <w:rPr>
          <w:rFonts w:hint="eastAsia" w:ascii="宋体" w:hAnsi="宋体" w:eastAsia="宋体" w:cs="宋体"/>
          <w:highlight w:val="none"/>
        </w:rPr>
        <w:t>6.1 要求提供的工程和有关服务、谈判过程和合同条款在谈判文件中均有说明。谈判文件共五章，各章的内容如下：</w:t>
      </w:r>
    </w:p>
    <w:p w14:paraId="72F88B7E">
      <w:pPr>
        <w:pStyle w:val="45"/>
        <w:rPr>
          <w:rFonts w:hint="eastAsia" w:ascii="宋体" w:hAnsi="宋体" w:eastAsia="宋体" w:cs="宋体"/>
          <w:highlight w:val="none"/>
        </w:rPr>
      </w:pPr>
      <w:r>
        <w:rPr>
          <w:rFonts w:hint="eastAsia" w:ascii="宋体" w:hAnsi="宋体" w:eastAsia="宋体" w:cs="宋体"/>
          <w:highlight w:val="none"/>
        </w:rPr>
        <w:t>第一章 谈判邀请</w:t>
      </w:r>
    </w:p>
    <w:p w14:paraId="6F301332">
      <w:pPr>
        <w:pStyle w:val="45"/>
        <w:rPr>
          <w:rFonts w:hint="eastAsia" w:ascii="宋体" w:hAnsi="宋体" w:eastAsia="宋体" w:cs="宋体"/>
          <w:highlight w:val="none"/>
        </w:rPr>
      </w:pPr>
      <w:r>
        <w:rPr>
          <w:rFonts w:hint="eastAsia" w:ascii="宋体" w:hAnsi="宋体" w:eastAsia="宋体" w:cs="宋体"/>
          <w:highlight w:val="none"/>
        </w:rPr>
        <w:t>第二章 供应商须知</w:t>
      </w:r>
    </w:p>
    <w:p w14:paraId="32295924">
      <w:pPr>
        <w:pStyle w:val="45"/>
        <w:rPr>
          <w:rFonts w:hint="eastAsia" w:ascii="宋体" w:hAnsi="宋体" w:eastAsia="宋体" w:cs="宋体"/>
          <w:highlight w:val="none"/>
        </w:rPr>
      </w:pPr>
      <w:r>
        <w:rPr>
          <w:rFonts w:hint="eastAsia" w:ascii="宋体" w:hAnsi="宋体" w:eastAsia="宋体" w:cs="宋体"/>
          <w:highlight w:val="none"/>
        </w:rPr>
        <w:t>第三章 拟签订的合同文本</w:t>
      </w:r>
    </w:p>
    <w:p w14:paraId="62965843">
      <w:pPr>
        <w:pStyle w:val="45"/>
        <w:rPr>
          <w:rFonts w:hint="eastAsia" w:ascii="宋体" w:hAnsi="宋体" w:eastAsia="宋体" w:cs="宋体"/>
          <w:highlight w:val="none"/>
        </w:rPr>
      </w:pPr>
      <w:r>
        <w:rPr>
          <w:rFonts w:hint="eastAsia" w:ascii="宋体" w:hAnsi="宋体" w:eastAsia="宋体" w:cs="宋体"/>
          <w:highlight w:val="none"/>
        </w:rPr>
        <w:t>第四章 响应文件格式</w:t>
      </w:r>
    </w:p>
    <w:p w14:paraId="000BCFAA">
      <w:pPr>
        <w:pStyle w:val="45"/>
        <w:rPr>
          <w:rFonts w:hint="eastAsia" w:ascii="宋体" w:hAnsi="宋体" w:eastAsia="宋体" w:cs="宋体"/>
          <w:highlight w:val="none"/>
        </w:rPr>
      </w:pPr>
      <w:r>
        <w:rPr>
          <w:rFonts w:hint="eastAsia" w:ascii="宋体" w:hAnsi="宋体" w:eastAsia="宋体" w:cs="宋体"/>
          <w:highlight w:val="none"/>
        </w:rPr>
        <w:t>第五章 采购需求一览表及采购要求</w:t>
      </w:r>
    </w:p>
    <w:p w14:paraId="15709502">
      <w:pPr>
        <w:pStyle w:val="45"/>
        <w:rPr>
          <w:rFonts w:hint="eastAsia" w:ascii="宋体" w:hAnsi="宋体" w:eastAsia="宋体" w:cs="宋体"/>
          <w:highlight w:val="none"/>
        </w:rPr>
      </w:pPr>
      <w:r>
        <w:rPr>
          <w:rFonts w:hint="eastAsia" w:ascii="宋体" w:hAnsi="宋体" w:eastAsia="宋体" w:cs="宋体"/>
          <w:highlight w:val="none"/>
        </w:rPr>
        <w:t>6.2 除非有特殊要求，谈判文件不单独提供谈判项目的自然环境、气候条件、公用设施等情况，供应商被视为熟悉上述与履行合同有关的一切情况。</w:t>
      </w:r>
    </w:p>
    <w:p w14:paraId="3E1240DF">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7. 谈判文件的澄清和修改</w:t>
      </w:r>
    </w:p>
    <w:p w14:paraId="36A829BF">
      <w:pPr>
        <w:pStyle w:val="45"/>
        <w:rPr>
          <w:rFonts w:hint="eastAsia" w:ascii="宋体" w:hAnsi="宋体" w:eastAsia="宋体" w:cs="宋体"/>
          <w:highlight w:val="none"/>
        </w:rPr>
      </w:pPr>
      <w:r>
        <w:rPr>
          <w:rFonts w:hint="eastAsia" w:ascii="宋体" w:hAnsi="宋体" w:eastAsia="宋体" w:cs="宋体"/>
          <w:highlight w:val="none"/>
        </w:rPr>
        <w:t>7.1 提交首次响应文件截止时间前的任何时候，采购代理机构可以对已发出的谈判文件进行必要的澄清或者修改，澄清或者修改的内容作为谈判文件的组成部分。</w:t>
      </w:r>
    </w:p>
    <w:p w14:paraId="6E861E8D">
      <w:pPr>
        <w:pStyle w:val="45"/>
        <w:rPr>
          <w:rFonts w:hint="eastAsia" w:ascii="宋体" w:hAnsi="宋体" w:eastAsia="宋体" w:cs="宋体"/>
          <w:highlight w:val="none"/>
        </w:rPr>
      </w:pPr>
      <w:r>
        <w:rPr>
          <w:rFonts w:hint="eastAsia" w:ascii="宋体" w:hAnsi="宋体" w:eastAsia="宋体" w:cs="宋体"/>
          <w:highlight w:val="none"/>
        </w:rPr>
        <w:t>7.2澄清或者修改的内容可能影响响应文件编制的，采购代理机构应当在提交首次响应文件截止之日3个工作日前，在东乡区人民政府网（公共资源交易）</w:t>
      </w:r>
      <w:r>
        <w:rPr>
          <w:rFonts w:hint="eastAsia" w:ascii="宋体" w:hAnsi="宋体" w:eastAsia="宋体" w:cs="宋体"/>
          <w:highlight w:val="none"/>
          <w:lang w:eastAsia="zh-CN"/>
        </w:rPr>
        <w:t>、</w:t>
      </w:r>
      <w:r>
        <w:rPr>
          <w:rFonts w:hint="eastAsia" w:ascii="宋体" w:hAnsi="宋体" w:eastAsia="宋体" w:cs="宋体"/>
          <w:sz w:val="24"/>
          <w:szCs w:val="24"/>
          <w:highlight w:val="none"/>
          <w:lang w:val="en-US" w:eastAsia="zh-CN"/>
        </w:rPr>
        <w:t>东乡区公共资源交易中心、</w:t>
      </w:r>
      <w:r>
        <w:rPr>
          <w:rFonts w:hint="eastAsia" w:ascii="宋体" w:hAnsi="宋体" w:eastAsia="宋体" w:cs="宋体"/>
          <w:sz w:val="24"/>
          <w:szCs w:val="24"/>
          <w:highlight w:val="none"/>
          <w:lang w:eastAsia="zh-CN"/>
        </w:rPr>
        <w:t>抚州市东乡区工业与科技创新投资集团有限公司</w:t>
      </w:r>
      <w:r>
        <w:rPr>
          <w:rFonts w:hint="eastAsia" w:ascii="宋体" w:hAnsi="宋体" w:eastAsia="宋体" w:cs="宋体"/>
          <w:sz w:val="24"/>
          <w:szCs w:val="24"/>
          <w:highlight w:val="none"/>
        </w:rPr>
        <w:t>官网</w:t>
      </w:r>
      <w:r>
        <w:rPr>
          <w:rFonts w:hint="eastAsia" w:ascii="宋体" w:hAnsi="宋体" w:eastAsia="宋体" w:cs="宋体"/>
          <w:highlight w:val="none"/>
        </w:rPr>
        <w:t>发布更正公告，上传答疑澄清文件。不足3个工作日的，应当顺延提交首次响应文件截止之日。</w:t>
      </w:r>
    </w:p>
    <w:p w14:paraId="04824BD1">
      <w:pPr>
        <w:pStyle w:val="45"/>
        <w:rPr>
          <w:rFonts w:hint="eastAsia" w:ascii="宋体" w:hAnsi="宋体" w:eastAsia="宋体" w:cs="宋体"/>
          <w:highlight w:val="none"/>
        </w:rPr>
      </w:pPr>
      <w:r>
        <w:rPr>
          <w:rFonts w:hint="eastAsia" w:ascii="宋体" w:hAnsi="宋体" w:eastAsia="宋体" w:cs="宋体"/>
          <w:highlight w:val="none"/>
        </w:rPr>
        <w:t>7.3已下载谈判文件的供应商必须在东乡区人民政府网（公共资源交易）</w:t>
      </w:r>
      <w:r>
        <w:rPr>
          <w:rFonts w:hint="eastAsia" w:ascii="宋体" w:hAnsi="宋体" w:eastAsia="宋体" w:cs="宋体"/>
          <w:highlight w:val="none"/>
          <w:lang w:eastAsia="zh-CN"/>
        </w:rPr>
        <w:t>、</w:t>
      </w:r>
      <w:r>
        <w:rPr>
          <w:rFonts w:hint="eastAsia" w:ascii="宋体" w:hAnsi="宋体" w:eastAsia="宋体" w:cs="宋体"/>
          <w:sz w:val="24"/>
          <w:szCs w:val="24"/>
          <w:highlight w:val="none"/>
          <w:lang w:val="en-US" w:eastAsia="zh-CN"/>
        </w:rPr>
        <w:t>东乡区公共资源交易中心、</w:t>
      </w:r>
      <w:r>
        <w:rPr>
          <w:rFonts w:hint="eastAsia" w:ascii="宋体" w:hAnsi="宋体" w:eastAsia="宋体" w:cs="宋体"/>
          <w:sz w:val="24"/>
          <w:szCs w:val="24"/>
          <w:highlight w:val="none"/>
          <w:lang w:eastAsia="zh-CN"/>
        </w:rPr>
        <w:t>抚州市东乡区工业与科技创新投资集团有限公司</w:t>
      </w:r>
      <w:r>
        <w:rPr>
          <w:rFonts w:hint="eastAsia" w:ascii="宋体" w:hAnsi="宋体" w:eastAsia="宋体" w:cs="宋体"/>
          <w:sz w:val="24"/>
          <w:szCs w:val="24"/>
          <w:highlight w:val="none"/>
        </w:rPr>
        <w:t>官网</w:t>
      </w:r>
      <w:r>
        <w:rPr>
          <w:rFonts w:hint="eastAsia" w:ascii="宋体" w:hAnsi="宋体" w:eastAsia="宋体" w:cs="宋体"/>
          <w:highlight w:val="none"/>
        </w:rPr>
        <w:t>下载答疑澄清文件。供应商因未下载答疑澄清文件、由此可能引起的响应文件递交失败、解密失败、内容缺失等相关后果由供应商自行承担。</w:t>
      </w:r>
    </w:p>
    <w:p w14:paraId="7C5B97ED">
      <w:pPr>
        <w:spacing w:line="360" w:lineRule="auto"/>
        <w:rPr>
          <w:rFonts w:hint="eastAsia" w:ascii="宋体" w:hAnsi="宋体" w:eastAsia="宋体" w:cs="宋体"/>
          <w:b/>
          <w:sz w:val="24"/>
          <w:szCs w:val="24"/>
          <w:highlight w:val="none"/>
        </w:rPr>
      </w:pPr>
      <w:bookmarkStart w:id="35" w:name="_Toc499477410"/>
      <w:bookmarkStart w:id="36" w:name="_Toc495487710"/>
      <w:bookmarkStart w:id="37" w:name="_Toc501101639"/>
      <w:r>
        <w:rPr>
          <w:rFonts w:hint="eastAsia" w:ascii="宋体" w:hAnsi="宋体" w:eastAsia="宋体" w:cs="宋体"/>
          <w:b/>
          <w:sz w:val="24"/>
          <w:szCs w:val="24"/>
          <w:highlight w:val="none"/>
        </w:rPr>
        <w:t>8.供应商应当提交的资格、资信证明文件</w:t>
      </w:r>
      <w:bookmarkEnd w:id="35"/>
      <w:bookmarkEnd w:id="36"/>
      <w:bookmarkEnd w:id="37"/>
    </w:p>
    <w:p w14:paraId="0022A260">
      <w:pPr>
        <w:pStyle w:val="45"/>
        <w:rPr>
          <w:rFonts w:hint="eastAsia" w:ascii="宋体" w:hAnsi="宋体" w:eastAsia="宋体" w:cs="宋体"/>
          <w:highlight w:val="none"/>
        </w:rPr>
      </w:pPr>
      <w:r>
        <w:rPr>
          <w:rFonts w:hint="eastAsia" w:ascii="宋体" w:hAnsi="宋体" w:eastAsia="宋体" w:cs="宋体"/>
          <w:highlight w:val="none"/>
        </w:rPr>
        <w:t>8.1江西省政府采购供应商资格信用承诺函</w:t>
      </w:r>
    </w:p>
    <w:p w14:paraId="5BF5B3A1">
      <w:pPr>
        <w:pStyle w:val="45"/>
        <w:rPr>
          <w:rFonts w:hint="eastAsia" w:ascii="宋体" w:hAnsi="宋体" w:eastAsia="宋体" w:cs="宋体"/>
          <w:highlight w:val="none"/>
        </w:rPr>
      </w:pPr>
      <w:r>
        <w:rPr>
          <w:rFonts w:hint="eastAsia" w:ascii="宋体" w:hAnsi="宋体" w:eastAsia="宋体" w:cs="宋体"/>
          <w:highlight w:val="none"/>
        </w:rPr>
        <w:t>8.2具有独立承担民事责任的能力的资格证明文件</w:t>
      </w:r>
    </w:p>
    <w:p w14:paraId="68843640">
      <w:pPr>
        <w:pStyle w:val="45"/>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3</w:t>
      </w:r>
      <w:r>
        <w:rPr>
          <w:rFonts w:hint="eastAsia" w:ascii="宋体" w:hAnsi="宋体" w:eastAsia="宋体" w:cs="宋体"/>
          <w:highlight w:val="none"/>
        </w:rPr>
        <w:t>具有良好的商业信誉和健全的财务会计制度的证明文件</w:t>
      </w:r>
    </w:p>
    <w:p w14:paraId="677CE9B7">
      <w:pPr>
        <w:pStyle w:val="45"/>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4</w:t>
      </w:r>
      <w:r>
        <w:rPr>
          <w:rFonts w:hint="eastAsia" w:ascii="宋体" w:hAnsi="宋体" w:eastAsia="宋体" w:cs="宋体"/>
          <w:highlight w:val="none"/>
        </w:rPr>
        <w:t xml:space="preserve"> 具有履行合同所必须的设备和专业技术能力的证明文件</w:t>
      </w:r>
    </w:p>
    <w:p w14:paraId="68873F40">
      <w:pPr>
        <w:pStyle w:val="45"/>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5</w:t>
      </w:r>
      <w:r>
        <w:rPr>
          <w:rFonts w:hint="eastAsia" w:ascii="宋体" w:hAnsi="宋体" w:eastAsia="宋体" w:cs="宋体"/>
          <w:highlight w:val="none"/>
        </w:rPr>
        <w:t xml:space="preserve"> 有依法缴纳税收和社会保障资金的良好记录的证明文件</w:t>
      </w:r>
    </w:p>
    <w:p w14:paraId="681352D1">
      <w:pPr>
        <w:pStyle w:val="45"/>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6</w:t>
      </w:r>
      <w:r>
        <w:rPr>
          <w:rFonts w:hint="eastAsia" w:ascii="宋体" w:hAnsi="宋体" w:eastAsia="宋体" w:cs="宋体"/>
          <w:highlight w:val="none"/>
        </w:rPr>
        <w:t>参加采购前三年内,在经营活动中没有重大违法记录的证明文件</w:t>
      </w:r>
    </w:p>
    <w:p w14:paraId="192B00DA">
      <w:pPr>
        <w:pStyle w:val="45"/>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7</w:t>
      </w:r>
      <w:r>
        <w:rPr>
          <w:rFonts w:hint="eastAsia" w:ascii="宋体" w:hAnsi="宋体" w:eastAsia="宋体" w:cs="宋体"/>
          <w:highlight w:val="none"/>
        </w:rPr>
        <w:t>其他资格证明材料</w:t>
      </w:r>
    </w:p>
    <w:p w14:paraId="2A96DA12">
      <w:pPr>
        <w:pStyle w:val="45"/>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8</w:t>
      </w:r>
      <w:r>
        <w:rPr>
          <w:rFonts w:hint="eastAsia" w:ascii="宋体" w:hAnsi="宋体" w:eastAsia="宋体" w:cs="宋体"/>
          <w:highlight w:val="none"/>
        </w:rPr>
        <w:t>法定代表人授权书</w:t>
      </w:r>
    </w:p>
    <w:p w14:paraId="0E239932">
      <w:pPr>
        <w:pStyle w:val="45"/>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9</w:t>
      </w:r>
      <w:r>
        <w:rPr>
          <w:rFonts w:hint="eastAsia" w:ascii="宋体" w:hAnsi="宋体" w:eastAsia="宋体" w:cs="宋体"/>
          <w:highlight w:val="none"/>
        </w:rPr>
        <w:t>供应商的资格声明</w:t>
      </w:r>
    </w:p>
    <w:p w14:paraId="477E202A">
      <w:pPr>
        <w:pStyle w:val="45"/>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10</w:t>
      </w:r>
      <w:r>
        <w:rPr>
          <w:rFonts w:hint="eastAsia" w:ascii="宋体" w:hAnsi="宋体" w:eastAsia="宋体" w:cs="宋体"/>
          <w:highlight w:val="none"/>
        </w:rPr>
        <w:t>.谈判文件第一章“谈判邀请”中要求的证明材料</w:t>
      </w:r>
    </w:p>
    <w:p w14:paraId="527E18A6">
      <w:pPr>
        <w:pStyle w:val="42"/>
        <w:spacing w:before="240"/>
        <w:rPr>
          <w:rFonts w:hint="eastAsia" w:ascii="宋体" w:hAnsi="宋体" w:eastAsia="宋体" w:cs="宋体"/>
          <w:highlight w:val="none"/>
        </w:rPr>
      </w:pPr>
      <w:bookmarkStart w:id="38" w:name="_Toc20371"/>
      <w:r>
        <w:rPr>
          <w:rFonts w:hint="eastAsia" w:ascii="宋体" w:hAnsi="宋体" w:eastAsia="宋体" w:cs="宋体"/>
          <w:highlight w:val="none"/>
        </w:rPr>
        <w:t>四、响应文件的编制</w:t>
      </w:r>
      <w:bookmarkEnd w:id="38"/>
    </w:p>
    <w:p w14:paraId="6E64D264">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10. 提示</w:t>
      </w:r>
    </w:p>
    <w:p w14:paraId="12815F89">
      <w:pPr>
        <w:pStyle w:val="45"/>
        <w:rPr>
          <w:rFonts w:hint="eastAsia" w:ascii="宋体" w:hAnsi="宋体" w:eastAsia="宋体" w:cs="宋体"/>
          <w:highlight w:val="none"/>
        </w:rPr>
      </w:pPr>
      <w:r>
        <w:rPr>
          <w:rFonts w:hint="eastAsia" w:ascii="宋体" w:hAnsi="宋体" w:eastAsia="宋体" w:cs="宋体"/>
          <w:highlight w:val="none"/>
        </w:rPr>
        <w:t>10.1 供应商应认真阅读谈判文件的全部内容，按照谈判文件要求提供响应文件和资料。</w:t>
      </w:r>
    </w:p>
    <w:p w14:paraId="3E2FABFE">
      <w:pPr>
        <w:pStyle w:val="45"/>
        <w:rPr>
          <w:rFonts w:hint="eastAsia" w:ascii="宋体" w:hAnsi="宋体" w:eastAsia="宋体" w:cs="宋体"/>
          <w:highlight w:val="none"/>
        </w:rPr>
      </w:pPr>
      <w:r>
        <w:rPr>
          <w:rFonts w:hint="eastAsia" w:ascii="宋体" w:hAnsi="宋体" w:eastAsia="宋体" w:cs="宋体"/>
          <w:highlight w:val="none"/>
        </w:rPr>
        <w:t>10.2供应商提交的响应文件以及供应商与采购代理结机构所有来往书面文件均须使用中文。响应文件中如附有外文资料，必须逐一对应翻译成中文。</w:t>
      </w:r>
    </w:p>
    <w:p w14:paraId="426F2ECB">
      <w:pPr>
        <w:pStyle w:val="45"/>
        <w:rPr>
          <w:rFonts w:hint="eastAsia" w:ascii="宋体" w:hAnsi="宋体" w:eastAsia="宋体" w:cs="宋体"/>
          <w:highlight w:val="none"/>
        </w:rPr>
      </w:pPr>
      <w:r>
        <w:rPr>
          <w:rFonts w:hint="eastAsia" w:ascii="宋体" w:hAnsi="宋体" w:eastAsia="宋体" w:cs="宋体"/>
          <w:highlight w:val="none"/>
        </w:rPr>
        <w:t>10.3翻译的中文资料与外文资料如果出现差异和矛盾时，以中文为准。</w:t>
      </w:r>
    </w:p>
    <w:p w14:paraId="6A3DA6E0">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11. 响应文件计量单位</w:t>
      </w:r>
      <w:r>
        <w:rPr>
          <w:rFonts w:hint="eastAsia" w:ascii="宋体" w:hAnsi="宋体" w:eastAsia="宋体" w:cs="宋体"/>
          <w:b/>
          <w:sz w:val="24"/>
          <w:szCs w:val="24"/>
          <w:highlight w:val="none"/>
        </w:rPr>
        <w:tab/>
      </w:r>
    </w:p>
    <w:p w14:paraId="0AE52DA8">
      <w:pPr>
        <w:pStyle w:val="45"/>
        <w:rPr>
          <w:rFonts w:hint="eastAsia" w:ascii="宋体" w:hAnsi="宋体" w:eastAsia="宋体" w:cs="宋体"/>
          <w:highlight w:val="none"/>
        </w:rPr>
      </w:pPr>
      <w:r>
        <w:rPr>
          <w:rFonts w:hint="eastAsia" w:ascii="宋体" w:hAnsi="宋体" w:eastAsia="宋体" w:cs="宋体"/>
          <w:highlight w:val="none"/>
        </w:rPr>
        <w:t>响应文件中所使用的计量单位, 除谈判文件中有特殊要求外，应采用国家法定计量单位。</w:t>
      </w:r>
    </w:p>
    <w:p w14:paraId="2218690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12.响应文件的构成</w:t>
      </w:r>
    </w:p>
    <w:p w14:paraId="153DD236">
      <w:pPr>
        <w:pStyle w:val="45"/>
        <w:rPr>
          <w:rFonts w:hint="eastAsia" w:ascii="宋体" w:hAnsi="宋体" w:eastAsia="宋体" w:cs="宋体"/>
          <w:highlight w:val="none"/>
        </w:rPr>
      </w:pPr>
      <w:r>
        <w:rPr>
          <w:rFonts w:hint="eastAsia" w:ascii="宋体" w:hAnsi="宋体" w:eastAsia="宋体" w:cs="宋体"/>
          <w:highlight w:val="none"/>
        </w:rPr>
        <w:t>12.1响应文件应由下列部分构成：</w:t>
      </w:r>
    </w:p>
    <w:p w14:paraId="2D02A01B">
      <w:pPr>
        <w:pStyle w:val="45"/>
        <w:rPr>
          <w:rFonts w:hint="eastAsia" w:ascii="宋体" w:hAnsi="宋体" w:eastAsia="宋体" w:cs="宋体"/>
          <w:highlight w:val="none"/>
        </w:rPr>
      </w:pPr>
      <w:r>
        <w:rPr>
          <w:rFonts w:hint="eastAsia" w:ascii="宋体" w:hAnsi="宋体" w:eastAsia="宋体" w:cs="宋体"/>
          <w:highlight w:val="none"/>
        </w:rPr>
        <w:t>(1) 谈判响应书</w:t>
      </w:r>
    </w:p>
    <w:p w14:paraId="01CF36F2">
      <w:pPr>
        <w:pStyle w:val="45"/>
        <w:rPr>
          <w:rFonts w:hint="eastAsia" w:ascii="宋体" w:hAnsi="宋体" w:eastAsia="宋体" w:cs="宋体"/>
          <w:highlight w:val="none"/>
        </w:rPr>
      </w:pPr>
      <w:r>
        <w:rPr>
          <w:rFonts w:hint="eastAsia" w:ascii="宋体" w:hAnsi="宋体" w:eastAsia="宋体" w:cs="宋体"/>
          <w:highlight w:val="none"/>
        </w:rPr>
        <w:t>(2) 报价表</w:t>
      </w:r>
    </w:p>
    <w:p w14:paraId="3F7E5297">
      <w:pPr>
        <w:pStyle w:val="45"/>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 技术规格响应</w:t>
      </w:r>
      <w:r>
        <w:rPr>
          <w:rFonts w:hint="eastAsia" w:ascii="宋体" w:hAnsi="宋体" w:eastAsia="宋体" w:cs="宋体"/>
          <w:highlight w:val="none"/>
          <w:lang w:val="en-GB"/>
        </w:rPr>
        <w:t>/偏离</w:t>
      </w:r>
      <w:r>
        <w:rPr>
          <w:rFonts w:hint="eastAsia" w:ascii="宋体" w:hAnsi="宋体" w:eastAsia="宋体" w:cs="宋体"/>
          <w:highlight w:val="none"/>
        </w:rPr>
        <w:t>表</w:t>
      </w:r>
    </w:p>
    <w:p w14:paraId="24D2B179">
      <w:pPr>
        <w:pStyle w:val="45"/>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 商务条款响应/偏离表</w:t>
      </w:r>
    </w:p>
    <w:p w14:paraId="34772D21">
      <w:pPr>
        <w:pStyle w:val="45"/>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 供应商情况一览表</w:t>
      </w:r>
    </w:p>
    <w:p w14:paraId="5F772BF8">
      <w:pPr>
        <w:pStyle w:val="45"/>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 技术文件</w:t>
      </w:r>
    </w:p>
    <w:p w14:paraId="6B07B397">
      <w:pPr>
        <w:pStyle w:val="45"/>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 资格证明文件</w:t>
      </w:r>
    </w:p>
    <w:p w14:paraId="57353462">
      <w:pPr>
        <w:pStyle w:val="45"/>
        <w:ind w:firstLine="482"/>
        <w:rPr>
          <w:rFonts w:hint="eastAsia" w:ascii="宋体" w:hAnsi="宋体" w:eastAsia="宋体" w:cs="宋体"/>
          <w:b/>
          <w:bCs/>
          <w:highlight w:val="none"/>
        </w:rPr>
      </w:pPr>
      <w:r>
        <w:rPr>
          <w:rFonts w:hint="eastAsia" w:ascii="宋体" w:hAnsi="宋体" w:eastAsia="宋体" w:cs="宋体"/>
          <w:b/>
          <w:bCs/>
          <w:highlight w:val="none"/>
        </w:rPr>
        <w:t>12.2供应商应将响应文件编写目录及页码。</w:t>
      </w:r>
    </w:p>
    <w:p w14:paraId="0D81A057">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13.证明符合谈判文件规定的文件</w:t>
      </w:r>
    </w:p>
    <w:p w14:paraId="5F6BB5BE">
      <w:pPr>
        <w:pStyle w:val="45"/>
        <w:rPr>
          <w:rFonts w:hint="eastAsia" w:ascii="宋体" w:hAnsi="宋体" w:eastAsia="宋体" w:cs="宋体"/>
          <w:highlight w:val="none"/>
        </w:rPr>
      </w:pPr>
      <w:r>
        <w:rPr>
          <w:rFonts w:hint="eastAsia" w:ascii="宋体" w:hAnsi="宋体" w:eastAsia="宋体" w:cs="宋体"/>
          <w:highlight w:val="none"/>
        </w:rPr>
        <w:t>13.1 供应商应提交其工程和有关服务符合谈判文件规定的证明，作为响应文件的一部分。</w:t>
      </w:r>
    </w:p>
    <w:p w14:paraId="20FADE0D">
      <w:pPr>
        <w:pStyle w:val="45"/>
        <w:rPr>
          <w:rFonts w:hint="eastAsia" w:ascii="宋体" w:hAnsi="宋体" w:eastAsia="宋体" w:cs="宋体"/>
          <w:highlight w:val="none"/>
        </w:rPr>
      </w:pPr>
      <w:r>
        <w:rPr>
          <w:rFonts w:hint="eastAsia" w:ascii="宋体" w:hAnsi="宋体" w:eastAsia="宋体" w:cs="宋体"/>
          <w:highlight w:val="none"/>
        </w:rPr>
        <w:t>13.2 工程和有关服务与谈判文件的要求相一致的证明，可以是文字资料、图纸和数据，包括：</w:t>
      </w:r>
    </w:p>
    <w:p w14:paraId="0A939380">
      <w:pPr>
        <w:pStyle w:val="45"/>
        <w:rPr>
          <w:rFonts w:hint="eastAsia" w:ascii="宋体" w:hAnsi="宋体" w:eastAsia="宋体" w:cs="宋体"/>
          <w:highlight w:val="none"/>
        </w:rPr>
      </w:pPr>
      <w:r>
        <w:rPr>
          <w:rFonts w:hint="eastAsia" w:ascii="宋体" w:hAnsi="宋体" w:eastAsia="宋体" w:cs="宋体"/>
          <w:highlight w:val="none"/>
        </w:rPr>
        <w:t>1)对满足采购需求的详细说明。</w:t>
      </w:r>
    </w:p>
    <w:p w14:paraId="7459FA7D">
      <w:pPr>
        <w:pStyle w:val="45"/>
        <w:rPr>
          <w:rFonts w:hint="eastAsia" w:ascii="宋体" w:hAnsi="宋体" w:eastAsia="宋体" w:cs="宋体"/>
          <w:highlight w:val="none"/>
        </w:rPr>
      </w:pPr>
      <w:r>
        <w:rPr>
          <w:rFonts w:hint="eastAsia" w:ascii="宋体" w:hAnsi="宋体" w:eastAsia="宋体" w:cs="宋体"/>
          <w:highlight w:val="none"/>
        </w:rPr>
        <w:t>2)对照谈判文件技术规格（工程需求），逐条说明所提供工程和有关服务已对谈判文件的技术规格（工程需求）做出了实质性响应，或申明与技术规格（工程需求）的偏差和例外。特别对于有具体要求的指标，供应商必须提供所投工程的具体指标。</w:t>
      </w:r>
    </w:p>
    <w:p w14:paraId="067CA8FB">
      <w:pPr>
        <w:pStyle w:val="45"/>
        <w:rPr>
          <w:rFonts w:hint="eastAsia" w:ascii="宋体" w:hAnsi="宋体" w:eastAsia="宋体" w:cs="宋体"/>
          <w:highlight w:val="none"/>
        </w:rPr>
      </w:pPr>
      <w:r>
        <w:rPr>
          <w:rFonts w:hint="eastAsia" w:ascii="宋体" w:hAnsi="宋体" w:eastAsia="宋体" w:cs="宋体"/>
          <w:highlight w:val="none"/>
        </w:rPr>
        <w:t>3)技术规格（工程需求）条款的偏差和例外。</w:t>
      </w:r>
    </w:p>
    <w:p w14:paraId="6AF6B55F">
      <w:pPr>
        <w:pStyle w:val="45"/>
        <w:rPr>
          <w:rFonts w:hint="eastAsia" w:ascii="宋体" w:hAnsi="宋体" w:eastAsia="宋体" w:cs="宋体"/>
          <w:highlight w:val="none"/>
        </w:rPr>
      </w:pPr>
      <w:r>
        <w:rPr>
          <w:rFonts w:hint="eastAsia" w:ascii="宋体" w:hAnsi="宋体" w:eastAsia="宋体" w:cs="宋体"/>
          <w:highlight w:val="none"/>
        </w:rPr>
        <w:t>4)商务条款的偏差和例外。</w:t>
      </w:r>
    </w:p>
    <w:p w14:paraId="77E7DF76">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14. 谈判报价</w:t>
      </w:r>
    </w:p>
    <w:p w14:paraId="1288F770">
      <w:pPr>
        <w:pStyle w:val="45"/>
        <w:rPr>
          <w:rFonts w:hint="eastAsia" w:ascii="宋体" w:hAnsi="宋体" w:eastAsia="宋体" w:cs="宋体"/>
          <w:highlight w:val="none"/>
        </w:rPr>
      </w:pPr>
      <w:r>
        <w:rPr>
          <w:rFonts w:hint="eastAsia" w:ascii="宋体" w:hAnsi="宋体" w:eastAsia="宋体" w:cs="宋体"/>
          <w:highlight w:val="none"/>
        </w:rPr>
        <w:t>14.1谈判报价均以人民币报价，报价内容包含本文件规定的货物、货物安装及附属售后服务；备品备件及专用工具；运至最终目的地的运费和保险费、装卸费、代理服务费等完成本项目所需相关费用的最终含税报价。供应商漏报或不报，采购人将视为有关费用已包括在本项目的其它单价及合价中而不予支付。</w:t>
      </w:r>
    </w:p>
    <w:p w14:paraId="71678F47">
      <w:pPr>
        <w:spacing w:line="46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15. 谈判保证金</w:t>
      </w:r>
    </w:p>
    <w:p w14:paraId="16D3219F">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15.1 投标人应提供本须知前附表所述金额的谈判保证金，保证金是响应文件的一个组成部分。</w:t>
      </w:r>
    </w:p>
    <w:p w14:paraId="172B8A41">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15.2 谈判保证金要求详见投标须知前附表。</w:t>
      </w:r>
    </w:p>
    <w:p w14:paraId="070BBEFE">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15.3 招标代理机构将拒绝未能按要求提交谈判保证金的响应文件。投标人在获取谈判文件并按规定提交了谈判保证金后方可参加投标。</w:t>
      </w:r>
    </w:p>
    <w:p w14:paraId="2A32DD8C">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15.4 投标人的谈判保证金将在中标人与采购人签订合同后5日内予以退还。</w:t>
      </w:r>
    </w:p>
    <w:p w14:paraId="37E6C580">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15.5 如有下列情况，投标人谈判保证金将不予退还：</w:t>
      </w:r>
    </w:p>
    <w:p w14:paraId="51301EDF">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（1）投标人在响应文件规定的投标有效期内撤回其投标；</w:t>
      </w:r>
    </w:p>
    <w:p w14:paraId="643150DC">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（2）中标人未按规定签订合同；</w:t>
      </w:r>
    </w:p>
    <w:p w14:paraId="6015D783">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（3）中标人提供虚假材料和文件意图骗取中标；</w:t>
      </w:r>
    </w:p>
    <w:p w14:paraId="39AE73F3">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（4）中标人未按规定提交履约保证金；</w:t>
      </w:r>
    </w:p>
    <w:p w14:paraId="43B62012">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（5）法律法规规定的其他不予退还的情形。</w:t>
      </w:r>
    </w:p>
    <w:p w14:paraId="0BDC3E5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16. 谈判有效期</w:t>
      </w:r>
    </w:p>
    <w:p w14:paraId="4A92EFA0">
      <w:pPr>
        <w:pStyle w:val="45"/>
        <w:rPr>
          <w:rFonts w:hint="eastAsia" w:ascii="宋体" w:hAnsi="宋体" w:eastAsia="宋体" w:cs="宋体"/>
          <w:highlight w:val="none"/>
        </w:rPr>
      </w:pPr>
      <w:r>
        <w:rPr>
          <w:rFonts w:hint="eastAsia" w:ascii="宋体" w:hAnsi="宋体" w:eastAsia="宋体" w:cs="宋体"/>
          <w:highlight w:val="none"/>
        </w:rPr>
        <w:t>谈判有效期为自谈判之日起不少于“供应商须知前附表”规定的时间保持有效。谈判有效期不足的响应文件</w:t>
      </w:r>
      <w:r>
        <w:rPr>
          <w:rFonts w:hint="eastAsia" w:ascii="宋体" w:hAnsi="宋体" w:eastAsia="宋体" w:cs="宋体"/>
          <w:b/>
          <w:highlight w:val="none"/>
        </w:rPr>
        <w:t>被视为无效。</w:t>
      </w:r>
    </w:p>
    <w:p w14:paraId="3B9D3271">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17. 响应文件的签署及规定</w:t>
      </w:r>
    </w:p>
    <w:p w14:paraId="31E339EA">
      <w:pPr>
        <w:pStyle w:val="45"/>
        <w:rPr>
          <w:rFonts w:hint="eastAsia" w:ascii="宋体" w:hAnsi="宋体" w:eastAsia="宋体" w:cs="宋体"/>
          <w:highlight w:val="none"/>
        </w:rPr>
      </w:pPr>
      <w:r>
        <w:rPr>
          <w:rFonts w:hint="eastAsia" w:ascii="宋体" w:hAnsi="宋体" w:eastAsia="宋体" w:cs="宋体"/>
          <w:highlight w:val="none"/>
        </w:rPr>
        <w:t>17.1 响应文件不得涂改和增删，如有修改，必须由授权代表人（或法定代表人）签字或盖章。</w:t>
      </w:r>
    </w:p>
    <w:p w14:paraId="43A0307D">
      <w:pPr>
        <w:pStyle w:val="45"/>
        <w:rPr>
          <w:rFonts w:hint="eastAsia" w:ascii="宋体" w:hAnsi="宋体" w:eastAsia="宋体" w:cs="宋体"/>
          <w:highlight w:val="none"/>
        </w:rPr>
      </w:pPr>
      <w:r>
        <w:rPr>
          <w:rFonts w:hint="eastAsia" w:ascii="宋体" w:hAnsi="宋体" w:eastAsia="宋体" w:cs="宋体"/>
          <w:highlight w:val="none"/>
        </w:rPr>
        <w:t>17.2 响应文件因字迹潦草或表达不清所引起的后果由供应商负责。</w:t>
      </w:r>
    </w:p>
    <w:p w14:paraId="0B1A2FEA">
      <w:pPr>
        <w:spacing w:line="360" w:lineRule="auto"/>
        <w:rPr>
          <w:rFonts w:hint="eastAsia" w:ascii="宋体" w:hAnsi="宋体" w:eastAsia="宋体" w:cs="宋体"/>
          <w:highlight w:val="none"/>
        </w:rPr>
      </w:pPr>
    </w:p>
    <w:p w14:paraId="43CA1B17">
      <w:pPr>
        <w:pStyle w:val="42"/>
        <w:spacing w:before="240"/>
        <w:rPr>
          <w:rFonts w:hint="eastAsia" w:ascii="宋体" w:hAnsi="宋体" w:eastAsia="宋体" w:cs="宋体"/>
          <w:highlight w:val="none"/>
        </w:rPr>
      </w:pPr>
      <w:bookmarkStart w:id="39" w:name="_Toc12567"/>
      <w:r>
        <w:rPr>
          <w:rFonts w:hint="eastAsia" w:ascii="宋体" w:hAnsi="宋体" w:eastAsia="宋体" w:cs="宋体"/>
          <w:highlight w:val="none"/>
        </w:rPr>
        <w:t>五、响应文件的递交</w:t>
      </w:r>
      <w:bookmarkEnd w:id="39"/>
    </w:p>
    <w:p w14:paraId="3D4230F0">
      <w:pPr>
        <w:spacing w:line="46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18. 响应文件的密封及标记</w:t>
      </w:r>
    </w:p>
    <w:p w14:paraId="428114A6">
      <w:pPr>
        <w:spacing w:line="460" w:lineRule="exact"/>
        <w:ind w:left="567" w:hanging="567"/>
        <w:rPr>
          <w:rFonts w:hint="eastAsia" w:ascii="宋体" w:hAnsi="宋体" w:eastAsia="宋体" w:cs="宋体"/>
          <w:sz w:val="24"/>
          <w:szCs w:val="24"/>
          <w:highlight w:val="none"/>
        </w:rPr>
      </w:pPr>
      <w:r>
        <w:rPr>
          <w:rFonts w:hint="eastAsia" w:ascii="宋体" w:hAnsi="宋体" w:eastAsia="宋体" w:cs="宋体"/>
          <w:sz w:val="24"/>
          <w:szCs w:val="24"/>
          <w:highlight w:val="none"/>
        </w:rPr>
        <w:t>18.1 供应商应将响应文件正本一份和“供应商须知前附表”规定的副本分开密封装在单独的信封中，且在信封上标明“正本”“副本”字样。</w:t>
      </w:r>
    </w:p>
    <w:p w14:paraId="2889D0F9">
      <w:pPr>
        <w:spacing w:line="460" w:lineRule="exact"/>
        <w:ind w:left="567" w:hanging="567"/>
        <w:rPr>
          <w:rFonts w:hint="eastAsia" w:ascii="宋体" w:hAnsi="宋体" w:eastAsia="宋体" w:cs="宋体"/>
          <w:sz w:val="24"/>
          <w:szCs w:val="24"/>
          <w:highlight w:val="none"/>
        </w:rPr>
      </w:pPr>
      <w:r>
        <w:rPr>
          <w:rFonts w:hint="eastAsia" w:ascii="宋体" w:hAnsi="宋体" w:eastAsia="宋体" w:cs="宋体"/>
          <w:sz w:val="24"/>
          <w:szCs w:val="24"/>
          <w:highlight w:val="none"/>
        </w:rPr>
        <w:t>18.2 为方便谈判，供应商应将报价表单独密封，并在信封上标明“报价表”字样。谈判保证金凭据复印件须装订在响应文件中。</w:t>
      </w:r>
    </w:p>
    <w:p w14:paraId="4819C67C">
      <w:pPr>
        <w:spacing w:line="460" w:lineRule="exact"/>
        <w:ind w:left="567" w:hanging="567"/>
        <w:rPr>
          <w:rFonts w:hint="eastAsia" w:ascii="宋体" w:hAnsi="宋体" w:eastAsia="宋体" w:cs="宋体"/>
          <w:sz w:val="24"/>
          <w:szCs w:val="24"/>
          <w:highlight w:val="none"/>
        </w:rPr>
      </w:pPr>
      <w:r>
        <w:rPr>
          <w:rFonts w:hint="eastAsia" w:ascii="宋体" w:hAnsi="宋体" w:eastAsia="宋体" w:cs="宋体"/>
          <w:sz w:val="24"/>
          <w:szCs w:val="24"/>
          <w:highlight w:val="none"/>
        </w:rPr>
        <w:t>18.3 封口处有谈判全权代表的签字或单位公章。封皮上注明谈判项目名称、项目编号、供应商名称、地址、邮政编码、电话、联系人，并注明“谈判时启封”字样。</w:t>
      </w:r>
    </w:p>
    <w:p w14:paraId="32A745BA">
      <w:pPr>
        <w:spacing w:line="460" w:lineRule="exact"/>
        <w:ind w:left="567" w:hanging="567"/>
        <w:rPr>
          <w:rFonts w:hint="eastAsia" w:ascii="宋体" w:hAnsi="宋体" w:eastAsia="宋体" w:cs="宋体"/>
          <w:sz w:val="24"/>
          <w:szCs w:val="24"/>
          <w:highlight w:val="none"/>
        </w:rPr>
      </w:pPr>
      <w:r>
        <w:rPr>
          <w:rFonts w:hint="eastAsia" w:ascii="宋体" w:hAnsi="宋体" w:eastAsia="宋体" w:cs="宋体"/>
          <w:sz w:val="24"/>
          <w:szCs w:val="24"/>
          <w:highlight w:val="none"/>
        </w:rPr>
        <w:t>18.4 如果供应商未按上述要求密封及加写标记，采购代理机构对响应文件的误投和提前启封概不负责。</w:t>
      </w:r>
    </w:p>
    <w:p w14:paraId="0E2051FF">
      <w:pPr>
        <w:spacing w:line="46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19. 谈判截止时间</w:t>
      </w:r>
    </w:p>
    <w:p w14:paraId="7AC9E510">
      <w:pPr>
        <w:spacing w:line="460" w:lineRule="exact"/>
        <w:ind w:left="563" w:leftChars="228" w:hanging="84" w:hangingChars="3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供应商必须在“第一章 谈判邀请”规定的截止时间前，将响应文件密封送达指定地点。</w:t>
      </w:r>
      <w:r>
        <w:rPr>
          <w:rFonts w:hint="eastAsia" w:ascii="宋体" w:hAnsi="宋体" w:eastAsia="宋体" w:cs="宋体"/>
          <w:sz w:val="24"/>
          <w:highlight w:val="none"/>
        </w:rPr>
        <w:t>已获取谈判文件的供应商，在提交响应文件的截止时间一日前，未书面通知代理机构放弃谈判的，不得再参加该项目的采购活动。</w:t>
      </w:r>
    </w:p>
    <w:p w14:paraId="174AB4BA">
      <w:pPr>
        <w:spacing w:line="46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20. 迟交的响应文件</w:t>
      </w:r>
    </w:p>
    <w:p w14:paraId="62C669A7">
      <w:pPr>
        <w:spacing w:line="460" w:lineRule="exact"/>
        <w:ind w:left="599" w:leftChars="228" w:hanging="120" w:hangingChars="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在响应文件递交截止时间以后送达的响应文件为无效响应文件，采购代理机构将拒收。 </w:t>
      </w:r>
    </w:p>
    <w:p w14:paraId="3A159DDA">
      <w:pPr>
        <w:spacing w:line="46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21. 响应文件的补充、修改或撤回</w:t>
      </w:r>
    </w:p>
    <w:p w14:paraId="787F34A5">
      <w:pPr>
        <w:spacing w:line="460" w:lineRule="exact"/>
        <w:ind w:left="60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21.1 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00092561">
      <w:pPr>
        <w:spacing w:line="460" w:lineRule="exact"/>
        <w:ind w:left="60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21.2 从响应文件递交截止期至谈判有效期期满这段时间内，供应商不得撤回其响应文件，否则不予退还其交纳的谈判保证金。</w:t>
      </w:r>
    </w:p>
    <w:p w14:paraId="145581F8">
      <w:pPr>
        <w:pStyle w:val="42"/>
        <w:spacing w:before="240"/>
        <w:rPr>
          <w:rFonts w:hint="eastAsia" w:ascii="宋体" w:hAnsi="宋体" w:eastAsia="宋体" w:cs="宋体"/>
          <w:highlight w:val="none"/>
        </w:rPr>
      </w:pPr>
      <w:bookmarkStart w:id="40" w:name="_Toc12242"/>
      <w:r>
        <w:rPr>
          <w:rFonts w:hint="eastAsia" w:ascii="宋体" w:hAnsi="宋体" w:eastAsia="宋体" w:cs="宋体"/>
          <w:highlight w:val="none"/>
        </w:rPr>
        <w:t>六、谈判</w:t>
      </w:r>
      <w:bookmarkEnd w:id="40"/>
    </w:p>
    <w:p w14:paraId="1D6C6685">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22. 谈判组织</w:t>
      </w:r>
    </w:p>
    <w:p w14:paraId="5B821324">
      <w:pPr>
        <w:pStyle w:val="45"/>
        <w:rPr>
          <w:rFonts w:hint="eastAsia" w:ascii="宋体" w:hAnsi="宋体" w:eastAsia="宋体" w:cs="宋体"/>
          <w:highlight w:val="none"/>
        </w:rPr>
      </w:pPr>
      <w:r>
        <w:rPr>
          <w:rFonts w:hint="eastAsia" w:ascii="宋体" w:hAnsi="宋体" w:eastAsia="宋体" w:cs="宋体"/>
          <w:highlight w:val="none"/>
        </w:rPr>
        <w:t>采购代理机构在“谈判邀请”中规定的时间、地点组织谈判活动。</w:t>
      </w:r>
    </w:p>
    <w:p w14:paraId="1A01358E">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23. 谈判小组</w:t>
      </w:r>
    </w:p>
    <w:p w14:paraId="6AB66E0B">
      <w:pPr>
        <w:pStyle w:val="45"/>
        <w:rPr>
          <w:rFonts w:hint="eastAsia" w:ascii="宋体" w:hAnsi="宋体" w:eastAsia="宋体" w:cs="宋体"/>
          <w:highlight w:val="none"/>
          <w:lang w:val="en-GB"/>
        </w:rPr>
      </w:pPr>
      <w:r>
        <w:rPr>
          <w:rFonts w:hint="eastAsia" w:ascii="宋体" w:hAnsi="宋体" w:eastAsia="宋体" w:cs="宋体"/>
          <w:highlight w:val="none"/>
          <w:lang w:val="en-GB"/>
        </w:rPr>
        <w:t>在相关的采购评审专家库中随机抽取评审专家，依法成立谈判小组。评审工作由谈判小组负责。</w:t>
      </w:r>
    </w:p>
    <w:p w14:paraId="6E0C8502">
      <w:pPr>
        <w:pStyle w:val="45"/>
        <w:ind w:firstLine="0" w:firstLineChars="0"/>
        <w:rPr>
          <w:rFonts w:hint="eastAsia" w:ascii="宋体" w:hAnsi="宋体" w:eastAsia="宋体" w:cs="宋体"/>
          <w:highlight w:val="none"/>
        </w:rPr>
      </w:pPr>
      <w:r>
        <w:rPr>
          <w:rFonts w:hint="eastAsia" w:ascii="宋体" w:hAnsi="宋体" w:eastAsia="宋体" w:cs="宋体"/>
          <w:b/>
          <w:highlight w:val="none"/>
        </w:rPr>
        <w:t>24.</w:t>
      </w:r>
      <w:r>
        <w:rPr>
          <w:rFonts w:hint="eastAsia" w:ascii="宋体" w:hAnsi="宋体" w:eastAsia="宋体" w:cs="宋体"/>
          <w:highlight w:val="none"/>
        </w:rPr>
        <w:t>采购代理机构将在谈判期间查询供应商的信用记录并告知谈判小组，经谈判小组评审确定投供应商存在不良信用记录的，其</w:t>
      </w:r>
      <w:r>
        <w:rPr>
          <w:rFonts w:hint="eastAsia" w:ascii="宋体" w:hAnsi="宋体" w:eastAsia="宋体" w:cs="宋体"/>
          <w:b/>
          <w:highlight w:val="none"/>
        </w:rPr>
        <w:t>响应无效</w:t>
      </w:r>
      <w:r>
        <w:rPr>
          <w:rFonts w:hint="eastAsia" w:ascii="宋体" w:hAnsi="宋体" w:eastAsia="宋体" w:cs="宋体"/>
          <w:highlight w:val="none"/>
        </w:rPr>
        <w:t>；查询到的不良信用记录随采购文件存档。</w:t>
      </w:r>
    </w:p>
    <w:p w14:paraId="3EDBB93B">
      <w:pPr>
        <w:pStyle w:val="45"/>
        <w:rPr>
          <w:rFonts w:hint="eastAsia" w:ascii="宋体" w:hAnsi="宋体" w:eastAsia="宋体" w:cs="宋体"/>
          <w:highlight w:val="none"/>
        </w:rPr>
      </w:pPr>
      <w:r>
        <w:rPr>
          <w:rFonts w:hint="eastAsia" w:ascii="宋体" w:hAnsi="宋体" w:eastAsia="宋体" w:cs="宋体"/>
          <w:highlight w:val="none"/>
        </w:rPr>
        <w:t>（1）通过“信用中国”网站和中国政府采购网查询相关主体信用记录，被列入失信被执行人、重大税收违法失信主体、政府采购严重违法失信行为记录名单的供应商（处罚期限尚未届满的）。</w:t>
      </w:r>
    </w:p>
    <w:p w14:paraId="275D4432">
      <w:pPr>
        <w:pStyle w:val="45"/>
        <w:rPr>
          <w:rFonts w:hint="eastAsia" w:ascii="宋体" w:hAnsi="宋体" w:eastAsia="宋体" w:cs="宋体"/>
          <w:highlight w:val="none"/>
        </w:rPr>
      </w:pPr>
      <w:r>
        <w:rPr>
          <w:rFonts w:hint="eastAsia" w:ascii="宋体" w:hAnsi="宋体" w:eastAsia="宋体" w:cs="宋体"/>
          <w:highlight w:val="none"/>
        </w:rPr>
        <w:t>（2）联合体参加竞争性谈判的，联合体成员存在以上不良信用记录的，视同联合体存在不良信用记录（本项目是否允许联合体参加竞争性谈判，详见“供应商须知前附表”）。</w:t>
      </w:r>
    </w:p>
    <w:p w14:paraId="19CC0313">
      <w:pPr>
        <w:pStyle w:val="45"/>
        <w:rPr>
          <w:rFonts w:hint="eastAsia" w:ascii="宋体" w:hAnsi="宋体" w:eastAsia="宋体" w:cs="宋体"/>
          <w:highlight w:val="none"/>
          <w:lang w:val="en-GB"/>
        </w:rPr>
      </w:pPr>
      <w:r>
        <w:rPr>
          <w:rFonts w:hint="eastAsia" w:ascii="宋体" w:hAnsi="宋体" w:eastAsia="宋体" w:cs="宋体"/>
          <w:highlight w:val="none"/>
        </w:rPr>
        <w:t>（3）供应商不良信用记录以采购代理机构查询结果为准，采购代理机构查询之后，网站信息发生的任何变更均不再作为评审依据，供应商自行提供的与网站信息不一致的其他证明材料亦不作为评审依据。</w:t>
      </w:r>
    </w:p>
    <w:p w14:paraId="136FAF15">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25. 谈判程序</w:t>
      </w:r>
    </w:p>
    <w:p w14:paraId="64E1090E">
      <w:pPr>
        <w:pStyle w:val="45"/>
        <w:rPr>
          <w:rFonts w:hint="eastAsia" w:ascii="宋体" w:hAnsi="宋体" w:eastAsia="宋体" w:cs="宋体"/>
          <w:highlight w:val="none"/>
        </w:rPr>
      </w:pPr>
      <w:r>
        <w:rPr>
          <w:rFonts w:hint="eastAsia" w:ascii="宋体" w:hAnsi="宋体" w:eastAsia="宋体" w:cs="宋体"/>
          <w:highlight w:val="none"/>
          <w:lang w:val="en-GB"/>
        </w:rPr>
        <w:t>2</w:t>
      </w:r>
      <w:r>
        <w:rPr>
          <w:rFonts w:hint="eastAsia" w:ascii="宋体" w:hAnsi="宋体" w:eastAsia="宋体" w:cs="宋体"/>
          <w:highlight w:val="none"/>
        </w:rPr>
        <w:t>5</w:t>
      </w:r>
      <w:r>
        <w:rPr>
          <w:rFonts w:hint="eastAsia" w:ascii="宋体" w:hAnsi="宋体" w:eastAsia="宋体" w:cs="宋体"/>
          <w:highlight w:val="none"/>
          <w:lang w:val="en-GB"/>
        </w:rPr>
        <w:t>.1</w:t>
      </w:r>
      <w:r>
        <w:rPr>
          <w:rFonts w:hint="eastAsia" w:ascii="宋体" w:hAnsi="宋体" w:eastAsia="宋体" w:cs="宋体"/>
          <w:highlight w:val="none"/>
        </w:rPr>
        <w:t>采购代理机构在“第一章 谈判邀请”中规定的时间和地点组织谈判。</w:t>
      </w:r>
    </w:p>
    <w:p w14:paraId="1CBDC825">
      <w:pPr>
        <w:pStyle w:val="45"/>
        <w:rPr>
          <w:rFonts w:hint="eastAsia" w:ascii="宋体" w:hAnsi="宋体" w:eastAsia="宋体" w:cs="宋体"/>
          <w:highlight w:val="none"/>
          <w:lang w:val="en-GB"/>
        </w:rPr>
      </w:pPr>
      <w:r>
        <w:rPr>
          <w:rFonts w:hint="eastAsia" w:ascii="宋体" w:hAnsi="宋体" w:eastAsia="宋体" w:cs="宋体"/>
          <w:highlight w:val="none"/>
          <w:lang w:val="en-GB"/>
        </w:rPr>
        <w:t>2</w:t>
      </w:r>
      <w:r>
        <w:rPr>
          <w:rFonts w:hint="eastAsia" w:ascii="宋体" w:hAnsi="宋体" w:eastAsia="宋体" w:cs="宋体"/>
          <w:highlight w:val="none"/>
        </w:rPr>
        <w:t>5</w:t>
      </w:r>
      <w:r>
        <w:rPr>
          <w:rFonts w:hint="eastAsia" w:ascii="宋体" w:hAnsi="宋体" w:eastAsia="宋体" w:cs="宋体"/>
          <w:highlight w:val="none"/>
          <w:lang w:val="en-GB"/>
        </w:rPr>
        <w:t>.2</w:t>
      </w:r>
      <w:r>
        <w:rPr>
          <w:rFonts w:hint="eastAsia" w:ascii="宋体" w:hAnsi="宋体" w:eastAsia="宋体" w:cs="宋体"/>
          <w:highlight w:val="none"/>
        </w:rPr>
        <w:t>谈判</w:t>
      </w:r>
      <w:r>
        <w:rPr>
          <w:rFonts w:hint="eastAsia" w:ascii="宋体" w:hAnsi="宋体" w:eastAsia="宋体" w:cs="宋体"/>
          <w:highlight w:val="none"/>
          <w:lang w:val="en-GB"/>
        </w:rPr>
        <w:t>由采购人或者采购代理机构主持，邀请供应商参加。</w:t>
      </w:r>
    </w:p>
    <w:p w14:paraId="70EE8A7E">
      <w:pPr>
        <w:pStyle w:val="45"/>
        <w:rPr>
          <w:rFonts w:hint="eastAsia" w:ascii="宋体" w:hAnsi="宋体" w:eastAsia="宋体" w:cs="宋体"/>
          <w:highlight w:val="none"/>
          <w:lang w:val="en-GB"/>
        </w:rPr>
      </w:pPr>
      <w:r>
        <w:rPr>
          <w:rFonts w:hint="eastAsia" w:ascii="宋体" w:hAnsi="宋体" w:eastAsia="宋体" w:cs="宋体"/>
          <w:highlight w:val="none"/>
          <w:lang w:val="en-GB"/>
        </w:rPr>
        <w:t>2</w:t>
      </w:r>
      <w:r>
        <w:rPr>
          <w:rFonts w:hint="eastAsia" w:ascii="宋体" w:hAnsi="宋体" w:eastAsia="宋体" w:cs="宋体"/>
          <w:highlight w:val="none"/>
        </w:rPr>
        <w:t>5</w:t>
      </w:r>
      <w:r>
        <w:rPr>
          <w:rFonts w:hint="eastAsia" w:ascii="宋体" w:hAnsi="宋体" w:eastAsia="宋体" w:cs="宋体"/>
          <w:highlight w:val="none"/>
          <w:lang w:val="en-GB"/>
        </w:rPr>
        <w:t>.3</w:t>
      </w:r>
      <w:r>
        <w:rPr>
          <w:rFonts w:hint="eastAsia" w:ascii="宋体" w:hAnsi="宋体" w:eastAsia="宋体" w:cs="宋体"/>
          <w:highlight w:val="none"/>
        </w:rPr>
        <w:t>谈判</w:t>
      </w:r>
      <w:r>
        <w:rPr>
          <w:rFonts w:hint="eastAsia" w:ascii="宋体" w:hAnsi="宋体" w:eastAsia="宋体" w:cs="宋体"/>
          <w:highlight w:val="none"/>
          <w:lang w:val="en-GB"/>
        </w:rPr>
        <w:t>截止时间前供应商未递交</w:t>
      </w:r>
      <w:r>
        <w:rPr>
          <w:rFonts w:hint="eastAsia" w:ascii="宋体" w:hAnsi="宋体" w:eastAsia="宋体" w:cs="宋体"/>
          <w:highlight w:val="none"/>
        </w:rPr>
        <w:t>响应</w:t>
      </w:r>
      <w:r>
        <w:rPr>
          <w:rFonts w:hint="eastAsia" w:ascii="宋体" w:hAnsi="宋体" w:eastAsia="宋体" w:cs="宋体"/>
          <w:highlight w:val="none"/>
          <w:lang w:val="en-GB"/>
        </w:rPr>
        <w:t>文件的，视为无效响应</w:t>
      </w:r>
      <w:r>
        <w:rPr>
          <w:rFonts w:hint="eastAsia" w:ascii="宋体" w:hAnsi="宋体" w:eastAsia="宋体" w:cs="宋体"/>
          <w:bCs/>
          <w:highlight w:val="none"/>
          <w:lang w:val="en-GB"/>
        </w:rPr>
        <w:t>。</w:t>
      </w:r>
    </w:p>
    <w:p w14:paraId="353A8424">
      <w:pPr>
        <w:pStyle w:val="45"/>
        <w:rPr>
          <w:rFonts w:hint="eastAsia" w:ascii="宋体" w:hAnsi="宋体" w:eastAsia="宋体" w:cs="宋体"/>
          <w:highlight w:val="none"/>
        </w:rPr>
      </w:pPr>
      <w:r>
        <w:rPr>
          <w:rFonts w:hint="eastAsia" w:ascii="宋体" w:hAnsi="宋体" w:eastAsia="宋体" w:cs="宋体"/>
          <w:highlight w:val="none"/>
          <w:lang w:val="en-GB"/>
        </w:rPr>
        <w:t>25.</w:t>
      </w:r>
      <w:r>
        <w:rPr>
          <w:rFonts w:hint="eastAsia" w:ascii="宋体" w:hAnsi="宋体" w:eastAsia="宋体" w:cs="宋体"/>
          <w:highlight w:val="none"/>
        </w:rPr>
        <w:t>4</w:t>
      </w:r>
      <w:r>
        <w:rPr>
          <w:rFonts w:hint="eastAsia" w:ascii="宋体" w:hAnsi="宋体" w:eastAsia="宋体" w:cs="宋体"/>
          <w:b/>
          <w:highlight w:val="none"/>
          <w:lang w:val="en-GB"/>
        </w:rPr>
        <w:t>谈判小组对各供应商的谈判响应文件进行初审，并确定谈判内容。</w:t>
      </w:r>
      <w:r>
        <w:rPr>
          <w:rFonts w:hint="eastAsia" w:ascii="宋体" w:hAnsi="宋体" w:eastAsia="宋体" w:cs="宋体"/>
          <w:highlight w:val="none"/>
        </w:rPr>
        <w:t>谈判响应文件的初审分为：</w:t>
      </w:r>
    </w:p>
    <w:p w14:paraId="41FE0736">
      <w:pPr>
        <w:pStyle w:val="45"/>
        <w:rPr>
          <w:rFonts w:hint="eastAsia" w:ascii="宋体" w:hAnsi="宋体" w:eastAsia="宋体" w:cs="宋体"/>
          <w:highlight w:val="none"/>
          <w:lang w:val="en-GB"/>
        </w:rPr>
      </w:pPr>
      <w:r>
        <w:rPr>
          <w:rFonts w:hint="eastAsia" w:ascii="宋体" w:hAnsi="宋体" w:eastAsia="宋体" w:cs="宋体"/>
          <w:highlight w:val="none"/>
          <w:lang w:val="en-GB"/>
        </w:rPr>
        <w:t>（1）资格性检查。依据法律法规和竞争性谈判</w:t>
      </w:r>
      <w:r>
        <w:rPr>
          <w:rFonts w:hint="eastAsia" w:ascii="宋体" w:hAnsi="宋体" w:eastAsia="宋体" w:cs="宋体"/>
          <w:highlight w:val="none"/>
        </w:rPr>
        <w:t>文件“第四章响应文件格式”的规定，对响应文件中的资格证明文件进行审查，以确定供应商是否具备参加谈判资格。</w:t>
      </w:r>
    </w:p>
    <w:p w14:paraId="7F1570BA">
      <w:pPr>
        <w:pStyle w:val="45"/>
        <w:rPr>
          <w:rFonts w:hint="eastAsia" w:ascii="宋体" w:hAnsi="宋体" w:eastAsia="宋体" w:cs="宋体"/>
          <w:highlight w:val="none"/>
          <w:lang w:val="en-GB"/>
        </w:rPr>
      </w:pPr>
      <w:r>
        <w:rPr>
          <w:rFonts w:hint="eastAsia" w:ascii="宋体" w:hAnsi="宋体" w:eastAsia="宋体" w:cs="宋体"/>
          <w:highlight w:val="none"/>
          <w:lang w:val="en-GB"/>
        </w:rPr>
        <w:t>（2）符合性检查。依据谈判文件的规定，从响应文件的有效性、完整性和对谈判文件的响应程度进行审查，以确定是否对谈判文件的实质性要求做出响应。</w:t>
      </w:r>
    </w:p>
    <w:p w14:paraId="2C45A6CD">
      <w:pPr>
        <w:pStyle w:val="45"/>
        <w:ind w:firstLine="482"/>
        <w:rPr>
          <w:rFonts w:hint="eastAsia" w:ascii="宋体" w:hAnsi="宋体" w:eastAsia="宋体" w:cs="宋体"/>
          <w:b/>
          <w:highlight w:val="none"/>
          <w:lang w:val="en-GB"/>
        </w:rPr>
      </w:pPr>
      <w:r>
        <w:rPr>
          <w:rFonts w:hint="eastAsia" w:ascii="宋体" w:hAnsi="宋体" w:eastAsia="宋体" w:cs="宋体"/>
          <w:b/>
          <w:highlight w:val="none"/>
          <w:lang w:val="en-GB"/>
        </w:rPr>
        <w:t>25.</w:t>
      </w:r>
      <w:r>
        <w:rPr>
          <w:rFonts w:hint="eastAsia" w:ascii="宋体" w:hAnsi="宋体" w:eastAsia="宋体" w:cs="宋体"/>
          <w:b/>
          <w:highlight w:val="none"/>
        </w:rPr>
        <w:t>5</w:t>
      </w:r>
      <w:r>
        <w:rPr>
          <w:rFonts w:hint="eastAsia" w:ascii="宋体" w:hAnsi="宋体" w:eastAsia="宋体" w:cs="宋体"/>
          <w:b/>
          <w:highlight w:val="none"/>
          <w:lang w:val="en-GB"/>
        </w:rPr>
        <w:t>初审出现下列情况者，响应文件被视为无效：</w:t>
      </w:r>
    </w:p>
    <w:p w14:paraId="26CCED3B">
      <w:pPr>
        <w:pStyle w:val="45"/>
        <w:rPr>
          <w:rFonts w:hint="eastAsia" w:ascii="宋体" w:hAnsi="宋体" w:eastAsia="宋体" w:cs="宋体"/>
          <w:highlight w:val="none"/>
          <w:lang w:val="en-GB"/>
        </w:rPr>
      </w:pPr>
      <w:r>
        <w:rPr>
          <w:rFonts w:hint="eastAsia" w:ascii="宋体" w:hAnsi="宋体" w:eastAsia="宋体" w:cs="宋体"/>
          <w:highlight w:val="none"/>
          <w:lang w:val="en-GB"/>
        </w:rPr>
        <w:t>未提交谈判响应书；</w:t>
      </w:r>
    </w:p>
    <w:p w14:paraId="121D2540">
      <w:pPr>
        <w:pStyle w:val="45"/>
        <w:rPr>
          <w:rFonts w:hint="eastAsia" w:ascii="宋体" w:hAnsi="宋体" w:eastAsia="宋体" w:cs="宋体"/>
          <w:highlight w:val="none"/>
          <w:lang w:val="en-GB"/>
        </w:rPr>
      </w:pPr>
      <w:r>
        <w:rPr>
          <w:rFonts w:hint="eastAsia" w:ascii="宋体" w:hAnsi="宋体" w:eastAsia="宋体" w:cs="宋体"/>
          <w:highlight w:val="none"/>
          <w:lang w:val="en-GB"/>
        </w:rPr>
        <w:t>未提交报价表；</w:t>
      </w:r>
    </w:p>
    <w:p w14:paraId="4491A258">
      <w:pPr>
        <w:pStyle w:val="45"/>
        <w:rPr>
          <w:rFonts w:hint="eastAsia" w:ascii="宋体" w:hAnsi="宋体" w:eastAsia="宋体" w:cs="宋体"/>
          <w:highlight w:val="none"/>
          <w:lang w:val="en-GB"/>
        </w:rPr>
      </w:pPr>
      <w:r>
        <w:rPr>
          <w:rFonts w:hint="eastAsia" w:ascii="宋体" w:hAnsi="宋体" w:eastAsia="宋体" w:cs="宋体"/>
          <w:highlight w:val="none"/>
          <w:lang w:val="en-GB"/>
        </w:rPr>
        <w:t>未按竞争性谈判文件“第四章响应文件格式9”的规定提供资格证明文件的；</w:t>
      </w:r>
    </w:p>
    <w:p w14:paraId="1A4BA702">
      <w:pPr>
        <w:pStyle w:val="45"/>
        <w:rPr>
          <w:rFonts w:hint="eastAsia" w:ascii="宋体" w:hAnsi="宋体" w:eastAsia="宋体" w:cs="宋体"/>
          <w:highlight w:val="none"/>
          <w:lang w:val="en-GB"/>
        </w:rPr>
      </w:pPr>
      <w:r>
        <w:rPr>
          <w:rFonts w:hint="eastAsia" w:ascii="宋体" w:hAnsi="宋体" w:eastAsia="宋体" w:cs="宋体"/>
          <w:highlight w:val="none"/>
          <w:lang w:val="en-GB"/>
        </w:rPr>
        <w:t>未按谈判文件要求签字、签章的，或签字（签章）人无法定代表人有效委托的；</w:t>
      </w:r>
    </w:p>
    <w:p w14:paraId="40A5EF05">
      <w:pPr>
        <w:pStyle w:val="45"/>
        <w:rPr>
          <w:rFonts w:hint="eastAsia" w:ascii="宋体" w:hAnsi="宋体" w:eastAsia="宋体" w:cs="宋体"/>
          <w:highlight w:val="none"/>
          <w:lang w:val="en-GB"/>
        </w:rPr>
      </w:pPr>
      <w:r>
        <w:rPr>
          <w:rFonts w:hint="eastAsia" w:ascii="宋体" w:hAnsi="宋体" w:eastAsia="宋体" w:cs="宋体"/>
          <w:highlight w:val="none"/>
          <w:lang w:val="en-GB"/>
        </w:rPr>
        <w:t>谈判有效期响应不足的；</w:t>
      </w:r>
    </w:p>
    <w:p w14:paraId="52DC7985">
      <w:pPr>
        <w:pStyle w:val="45"/>
        <w:rPr>
          <w:rFonts w:hint="eastAsia" w:ascii="宋体" w:hAnsi="宋体" w:eastAsia="宋体" w:cs="宋体"/>
          <w:highlight w:val="none"/>
          <w:lang w:val="en-GB"/>
        </w:rPr>
      </w:pPr>
      <w:r>
        <w:rPr>
          <w:rFonts w:hint="eastAsia" w:ascii="宋体" w:hAnsi="宋体" w:eastAsia="宋体" w:cs="宋体"/>
          <w:highlight w:val="none"/>
          <w:lang w:val="en-GB"/>
        </w:rPr>
        <w:t>技术文件技术规格中的响应与事实不符或虚假响应的；</w:t>
      </w:r>
    </w:p>
    <w:p w14:paraId="009D9F1A">
      <w:pPr>
        <w:pStyle w:val="45"/>
        <w:rPr>
          <w:rFonts w:hint="eastAsia" w:ascii="宋体" w:hAnsi="宋体" w:eastAsia="宋体" w:cs="宋体"/>
          <w:highlight w:val="none"/>
          <w:lang w:val="en-GB"/>
        </w:rPr>
      </w:pPr>
      <w:r>
        <w:rPr>
          <w:rFonts w:hint="eastAsia" w:ascii="宋体" w:hAnsi="宋体" w:eastAsia="宋体" w:cs="宋体"/>
          <w:highlight w:val="none"/>
          <w:lang w:val="en-GB"/>
        </w:rPr>
        <w:t>超过了采购项目预算或超过了最高限价的；</w:t>
      </w:r>
    </w:p>
    <w:p w14:paraId="241A7331">
      <w:pPr>
        <w:pStyle w:val="45"/>
        <w:rPr>
          <w:rFonts w:hint="eastAsia" w:ascii="宋体" w:hAnsi="宋体" w:eastAsia="宋体" w:cs="宋体"/>
          <w:highlight w:val="none"/>
          <w:lang w:val="en-GB"/>
        </w:rPr>
      </w:pPr>
      <w:r>
        <w:rPr>
          <w:rFonts w:hint="eastAsia" w:ascii="宋体" w:hAnsi="宋体" w:eastAsia="宋体" w:cs="宋体"/>
          <w:highlight w:val="none"/>
          <w:lang w:val="en-GB"/>
        </w:rPr>
        <w:t>谈判文件规定的其他响应无效条款。</w:t>
      </w:r>
    </w:p>
    <w:p w14:paraId="5B1520BD">
      <w:pPr>
        <w:pStyle w:val="45"/>
        <w:rPr>
          <w:rFonts w:hint="eastAsia" w:ascii="宋体" w:hAnsi="宋体" w:eastAsia="宋体" w:cs="宋体"/>
          <w:highlight w:val="none"/>
        </w:rPr>
      </w:pPr>
      <w:r>
        <w:rPr>
          <w:rFonts w:hint="eastAsia" w:ascii="宋体" w:hAnsi="宋体" w:eastAsia="宋体" w:cs="宋体"/>
          <w:highlight w:val="none"/>
        </w:rPr>
        <w:t>25.6谈判：</w:t>
      </w:r>
    </w:p>
    <w:p w14:paraId="2D70CA1B">
      <w:pPr>
        <w:pStyle w:val="45"/>
        <w:rPr>
          <w:rFonts w:hint="eastAsia" w:ascii="宋体" w:hAnsi="宋体" w:eastAsia="宋体" w:cs="宋体"/>
          <w:highlight w:val="none"/>
          <w:lang w:val="en-GB"/>
        </w:rPr>
      </w:pPr>
      <w:r>
        <w:rPr>
          <w:rFonts w:hint="eastAsia" w:ascii="宋体" w:hAnsi="宋体" w:eastAsia="宋体" w:cs="宋体"/>
          <w:highlight w:val="none"/>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1EE1A09C">
      <w:pPr>
        <w:pStyle w:val="45"/>
        <w:rPr>
          <w:rFonts w:hint="eastAsia" w:ascii="宋体" w:hAnsi="宋体" w:eastAsia="宋体" w:cs="宋体"/>
          <w:highlight w:val="none"/>
        </w:rPr>
      </w:pPr>
      <w:r>
        <w:rPr>
          <w:rFonts w:hint="eastAsia" w:ascii="宋体" w:hAnsi="宋体" w:eastAsia="宋体" w:cs="宋体"/>
          <w:highlight w:val="none"/>
        </w:rPr>
        <w:t>25.7谈判文件修正</w:t>
      </w:r>
    </w:p>
    <w:p w14:paraId="73993416">
      <w:pPr>
        <w:pStyle w:val="45"/>
        <w:rPr>
          <w:rFonts w:hint="eastAsia" w:ascii="宋体" w:hAnsi="宋体" w:eastAsia="宋体" w:cs="宋体"/>
          <w:highlight w:val="none"/>
        </w:rPr>
      </w:pPr>
      <w:r>
        <w:rPr>
          <w:rFonts w:hint="eastAsia" w:ascii="宋体" w:hAnsi="宋体" w:eastAsia="宋体" w:cs="宋体"/>
          <w:highlight w:val="none"/>
        </w:rPr>
        <w:t>（1）在谈判过程中，谈判小组可以根据谈判文件和谈判情况实质性变动条款，但不得变动谈判文件中的其他内容。实质性变动的内容，须经采购人代表确认。</w:t>
      </w:r>
    </w:p>
    <w:p w14:paraId="2E152846">
      <w:pPr>
        <w:pStyle w:val="45"/>
        <w:rPr>
          <w:rFonts w:hint="eastAsia" w:ascii="宋体" w:hAnsi="宋体" w:eastAsia="宋体" w:cs="宋体"/>
          <w:highlight w:val="none"/>
        </w:rPr>
      </w:pPr>
      <w:r>
        <w:rPr>
          <w:rFonts w:hint="eastAsia" w:ascii="宋体" w:hAnsi="宋体" w:eastAsia="宋体" w:cs="宋体"/>
          <w:highlight w:val="none"/>
        </w:rPr>
        <w:t>（2）对谈判文件作出的实质性变动是谈判文件的有效组成部分，谈判小组应当及时以书面形式同时通知所有参加谈判的供应商。</w:t>
      </w:r>
    </w:p>
    <w:p w14:paraId="3627DA13">
      <w:pPr>
        <w:pStyle w:val="45"/>
        <w:rPr>
          <w:rFonts w:hint="eastAsia" w:ascii="宋体" w:hAnsi="宋体" w:eastAsia="宋体" w:cs="宋体"/>
          <w:highlight w:val="none"/>
        </w:rPr>
      </w:pPr>
      <w:r>
        <w:rPr>
          <w:rFonts w:hint="eastAsia" w:ascii="宋体" w:hAnsi="宋体" w:eastAsia="宋体" w:cs="宋体"/>
          <w:highlight w:val="none"/>
        </w:rPr>
        <w:t>（3）供应商按照谈判文件的变动情况和谈判小组的要求重新提交响应文件，并由其法定代表人或授权代表签字或者加盖公章。</w:t>
      </w:r>
    </w:p>
    <w:p w14:paraId="3485FFBA">
      <w:pPr>
        <w:pStyle w:val="45"/>
        <w:rPr>
          <w:rFonts w:hint="eastAsia" w:ascii="宋体" w:hAnsi="宋体" w:eastAsia="宋体" w:cs="宋体"/>
          <w:highlight w:val="none"/>
        </w:rPr>
      </w:pPr>
      <w:r>
        <w:rPr>
          <w:rFonts w:hint="eastAsia" w:ascii="宋体" w:hAnsi="宋体" w:eastAsia="宋体" w:cs="宋体"/>
          <w:highlight w:val="none"/>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026200D3">
      <w:pPr>
        <w:pStyle w:val="45"/>
        <w:rPr>
          <w:rFonts w:hint="eastAsia" w:ascii="宋体" w:hAnsi="宋体" w:eastAsia="宋体" w:cs="宋体"/>
          <w:highlight w:val="none"/>
        </w:rPr>
      </w:pPr>
      <w:r>
        <w:rPr>
          <w:rFonts w:hint="eastAsia" w:ascii="宋体" w:hAnsi="宋体" w:eastAsia="宋体" w:cs="宋体"/>
          <w:highlight w:val="none"/>
        </w:rPr>
        <w:t>25.8 最后报价</w:t>
      </w:r>
    </w:p>
    <w:p w14:paraId="7C314F9A">
      <w:pPr>
        <w:pStyle w:val="45"/>
        <w:rPr>
          <w:rFonts w:hint="eastAsia" w:ascii="宋体" w:hAnsi="宋体" w:eastAsia="宋体" w:cs="宋体"/>
          <w:highlight w:val="none"/>
        </w:rPr>
      </w:pPr>
      <w:r>
        <w:rPr>
          <w:rFonts w:hint="eastAsia" w:ascii="宋体" w:hAnsi="宋体" w:eastAsia="宋体" w:cs="宋体"/>
          <w:highlight w:val="none"/>
        </w:rPr>
        <w:t>（1）谈判结束后，谈判小组要求所有继续参加谈判的供应商在规定时间内提交最后</w:t>
      </w:r>
      <w:r>
        <w:rPr>
          <w:rFonts w:hint="eastAsia" w:ascii="宋体" w:hAnsi="宋体" w:eastAsia="宋体" w:cs="宋体"/>
          <w:highlight w:val="none"/>
          <w:lang w:val="en-US" w:eastAsia="zh-CN"/>
        </w:rPr>
        <w:t>投标报价</w:t>
      </w:r>
      <w:r>
        <w:rPr>
          <w:rFonts w:hint="eastAsia" w:ascii="宋体" w:hAnsi="宋体" w:eastAsia="宋体" w:cs="宋体"/>
          <w:highlight w:val="none"/>
        </w:rPr>
        <w:t>，提交最后</w:t>
      </w:r>
      <w:r>
        <w:rPr>
          <w:rFonts w:hint="eastAsia" w:ascii="宋体" w:hAnsi="宋体" w:eastAsia="宋体" w:cs="宋体"/>
          <w:highlight w:val="none"/>
          <w:lang w:val="en-US" w:eastAsia="zh-CN"/>
        </w:rPr>
        <w:t>投标报价</w:t>
      </w:r>
      <w:r>
        <w:rPr>
          <w:rFonts w:hint="eastAsia" w:ascii="宋体" w:hAnsi="宋体" w:eastAsia="宋体" w:cs="宋体"/>
          <w:highlight w:val="none"/>
        </w:rPr>
        <w:t>的供应商不得少于3家。</w:t>
      </w:r>
    </w:p>
    <w:p w14:paraId="1162663C">
      <w:pPr>
        <w:pStyle w:val="45"/>
        <w:rPr>
          <w:rFonts w:hint="eastAsia" w:ascii="宋体" w:hAnsi="宋体" w:eastAsia="宋体" w:cs="宋体"/>
          <w:highlight w:val="none"/>
        </w:rPr>
      </w:pPr>
      <w:r>
        <w:rPr>
          <w:rFonts w:hint="eastAsia" w:ascii="宋体" w:hAnsi="宋体" w:eastAsia="宋体" w:cs="宋体"/>
          <w:highlight w:val="none"/>
        </w:rPr>
        <w:t>（2）最后</w:t>
      </w:r>
      <w:r>
        <w:rPr>
          <w:rFonts w:hint="eastAsia" w:ascii="宋体" w:hAnsi="宋体" w:eastAsia="宋体" w:cs="宋体"/>
          <w:highlight w:val="none"/>
          <w:lang w:val="en-US" w:eastAsia="zh-CN"/>
        </w:rPr>
        <w:t>投标报价</w:t>
      </w:r>
      <w:r>
        <w:rPr>
          <w:rFonts w:hint="eastAsia" w:ascii="宋体" w:hAnsi="宋体" w:eastAsia="宋体" w:cs="宋体"/>
          <w:highlight w:val="none"/>
        </w:rPr>
        <w:t>是供应商响应文件的有效组成部分。</w:t>
      </w:r>
    </w:p>
    <w:p w14:paraId="19634C02">
      <w:pPr>
        <w:pStyle w:val="45"/>
        <w:rPr>
          <w:rFonts w:hint="eastAsia" w:ascii="宋体" w:hAnsi="宋体" w:eastAsia="宋体" w:cs="宋体"/>
          <w:highlight w:val="none"/>
          <w:lang w:val="en-GB"/>
        </w:rPr>
      </w:pPr>
      <w:r>
        <w:rPr>
          <w:rFonts w:hint="eastAsia" w:ascii="宋体" w:hAnsi="宋体" w:eastAsia="宋体" w:cs="宋体"/>
          <w:highlight w:val="none"/>
          <w:lang w:val="en-GB"/>
        </w:rPr>
        <w:t>（</w:t>
      </w:r>
      <w:r>
        <w:rPr>
          <w:rFonts w:hint="eastAsia" w:ascii="宋体" w:hAnsi="宋体" w:eastAsia="宋体" w:cs="宋体"/>
          <w:highlight w:val="none"/>
          <w:lang w:val="en-US" w:eastAsia="zh-CN"/>
        </w:rPr>
        <w:t>3</w:t>
      </w:r>
      <w:r>
        <w:rPr>
          <w:rFonts w:hint="eastAsia" w:ascii="宋体" w:hAnsi="宋体" w:eastAsia="宋体" w:cs="宋体"/>
          <w:highlight w:val="none"/>
          <w:lang w:val="en-GB"/>
        </w:rPr>
        <w:t>）若没有对谈判文件技术需求、商务作实质性修改或对服务要求、商务作了实质性修改，但没有提高采购要求，最后</w:t>
      </w:r>
      <w:r>
        <w:rPr>
          <w:rFonts w:hint="eastAsia" w:ascii="宋体" w:hAnsi="宋体" w:eastAsia="宋体" w:cs="宋体"/>
          <w:highlight w:val="none"/>
          <w:lang w:val="en-US" w:eastAsia="zh-CN"/>
        </w:rPr>
        <w:t>投标报价</w:t>
      </w:r>
      <w:r>
        <w:rPr>
          <w:rFonts w:hint="eastAsia" w:ascii="宋体" w:hAnsi="宋体" w:eastAsia="宋体" w:cs="宋体"/>
          <w:highlight w:val="none"/>
          <w:lang w:val="en-GB"/>
        </w:rPr>
        <w:t>不得</w:t>
      </w:r>
      <w:r>
        <w:rPr>
          <w:rFonts w:hint="eastAsia" w:ascii="宋体" w:hAnsi="宋体" w:eastAsia="宋体" w:cs="宋体"/>
          <w:highlight w:val="none"/>
          <w:lang w:val="en-US" w:eastAsia="zh-CN"/>
        </w:rPr>
        <w:t>低</w:t>
      </w:r>
      <w:r>
        <w:rPr>
          <w:rFonts w:hint="eastAsia" w:ascii="宋体" w:hAnsi="宋体" w:eastAsia="宋体" w:cs="宋体"/>
          <w:highlight w:val="none"/>
          <w:lang w:val="en-GB"/>
        </w:rPr>
        <w:t>于上一轮</w:t>
      </w:r>
      <w:r>
        <w:rPr>
          <w:rFonts w:hint="eastAsia" w:ascii="宋体" w:hAnsi="宋体" w:eastAsia="宋体" w:cs="宋体"/>
          <w:highlight w:val="none"/>
          <w:lang w:val="en-US" w:eastAsia="zh-CN"/>
        </w:rPr>
        <w:t>投标报价</w:t>
      </w:r>
      <w:r>
        <w:rPr>
          <w:rFonts w:hint="eastAsia" w:ascii="宋体" w:hAnsi="宋体" w:eastAsia="宋体" w:cs="宋体"/>
          <w:highlight w:val="none"/>
          <w:lang w:val="en-GB"/>
        </w:rPr>
        <w:t>；否则，</w:t>
      </w:r>
      <w:r>
        <w:rPr>
          <w:rFonts w:hint="eastAsia" w:ascii="宋体" w:hAnsi="宋体" w:eastAsia="宋体" w:cs="宋体"/>
          <w:b/>
          <w:highlight w:val="none"/>
          <w:lang w:val="en-GB"/>
        </w:rPr>
        <w:t>视为无效响应。</w:t>
      </w:r>
    </w:p>
    <w:p w14:paraId="45F7FEC7">
      <w:pPr>
        <w:pStyle w:val="45"/>
        <w:rPr>
          <w:rFonts w:hint="eastAsia" w:ascii="宋体" w:hAnsi="宋体" w:eastAsia="宋体" w:cs="宋体"/>
          <w:highlight w:val="none"/>
        </w:rPr>
      </w:pPr>
      <w:r>
        <w:rPr>
          <w:rFonts w:hint="eastAsia" w:ascii="宋体" w:hAnsi="宋体" w:eastAsia="宋体" w:cs="宋体"/>
          <w:highlight w:val="none"/>
        </w:rPr>
        <w:t>（5）未在规定时间内提交最后</w:t>
      </w:r>
      <w:r>
        <w:rPr>
          <w:rFonts w:hint="eastAsia" w:ascii="宋体" w:hAnsi="宋体" w:eastAsia="宋体" w:cs="宋体"/>
          <w:highlight w:val="none"/>
          <w:lang w:val="en-US" w:eastAsia="zh-CN"/>
        </w:rPr>
        <w:t>投标报价</w:t>
      </w:r>
      <w:r>
        <w:rPr>
          <w:rFonts w:hint="eastAsia" w:ascii="宋体" w:hAnsi="宋体" w:eastAsia="宋体" w:cs="宋体"/>
          <w:highlight w:val="none"/>
        </w:rPr>
        <w:t>或最后</w:t>
      </w:r>
      <w:r>
        <w:rPr>
          <w:rFonts w:hint="eastAsia" w:ascii="宋体" w:hAnsi="宋体" w:eastAsia="宋体" w:cs="宋体"/>
          <w:highlight w:val="none"/>
          <w:lang w:val="en-US" w:eastAsia="zh-CN"/>
        </w:rPr>
        <w:t>投标报价</w:t>
      </w:r>
      <w:r>
        <w:rPr>
          <w:rFonts w:hint="eastAsia" w:ascii="宋体" w:hAnsi="宋体" w:eastAsia="宋体" w:cs="宋体"/>
          <w:highlight w:val="none"/>
        </w:rPr>
        <w:t>不符合谈判文件要求的；</w:t>
      </w:r>
      <w:r>
        <w:rPr>
          <w:rFonts w:hint="eastAsia" w:ascii="宋体" w:hAnsi="宋体" w:eastAsia="宋体" w:cs="宋体"/>
          <w:b/>
          <w:highlight w:val="none"/>
        </w:rPr>
        <w:t>视为无效响应</w:t>
      </w:r>
      <w:r>
        <w:rPr>
          <w:rFonts w:hint="eastAsia" w:ascii="宋体" w:hAnsi="宋体" w:eastAsia="宋体" w:cs="宋体"/>
          <w:highlight w:val="none"/>
        </w:rPr>
        <w:t>。</w:t>
      </w:r>
    </w:p>
    <w:p w14:paraId="58D75A7F">
      <w:pPr>
        <w:pStyle w:val="45"/>
        <w:rPr>
          <w:rFonts w:hint="eastAsia" w:ascii="宋体" w:hAnsi="宋体" w:eastAsia="宋体" w:cs="宋体"/>
          <w:highlight w:val="none"/>
        </w:rPr>
      </w:pPr>
      <w:r>
        <w:rPr>
          <w:rFonts w:hint="eastAsia" w:ascii="宋体" w:hAnsi="宋体" w:eastAsia="宋体" w:cs="宋体"/>
          <w:highlight w:val="none"/>
        </w:rPr>
        <w:t>（6）已提交响应文件的供应商，在提交最后</w:t>
      </w:r>
      <w:r>
        <w:rPr>
          <w:rFonts w:hint="eastAsia" w:ascii="宋体" w:hAnsi="宋体" w:eastAsia="宋体" w:cs="宋体"/>
          <w:highlight w:val="none"/>
          <w:lang w:val="en-US" w:eastAsia="zh-CN"/>
        </w:rPr>
        <w:t>投标报价</w:t>
      </w:r>
      <w:r>
        <w:rPr>
          <w:rFonts w:hint="eastAsia" w:ascii="宋体" w:hAnsi="宋体" w:eastAsia="宋体" w:cs="宋体"/>
          <w:highlight w:val="none"/>
        </w:rPr>
        <w:t>之前，可以根据谈判情况退出谈判。采购人、采购代理机构应当退还退出谈判的供应商的保证金。</w:t>
      </w:r>
    </w:p>
    <w:p w14:paraId="15DA17AC">
      <w:pPr>
        <w:spacing w:line="360" w:lineRule="auto"/>
        <w:ind w:left="482" w:hanging="482" w:hanging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26. 成交标准　</w:t>
      </w:r>
    </w:p>
    <w:p w14:paraId="1D830CE6">
      <w:pPr>
        <w:pStyle w:val="45"/>
        <w:ind w:firstLine="482"/>
        <w:rPr>
          <w:rFonts w:hint="eastAsia" w:ascii="宋体" w:hAnsi="宋体" w:eastAsia="宋体" w:cs="宋体"/>
          <w:b/>
          <w:bCs/>
          <w:highlight w:val="none"/>
        </w:rPr>
      </w:pPr>
      <w:r>
        <w:rPr>
          <w:rFonts w:hint="eastAsia" w:ascii="宋体" w:hAnsi="宋体" w:eastAsia="宋体" w:cs="宋体"/>
          <w:b/>
          <w:bCs/>
          <w:highlight w:val="none"/>
        </w:rPr>
        <w:t>详见“供应商须知前附表”。</w:t>
      </w:r>
    </w:p>
    <w:p w14:paraId="41EDE842">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27. 与谈判小组的接触</w:t>
      </w:r>
    </w:p>
    <w:p w14:paraId="22047250">
      <w:pPr>
        <w:pStyle w:val="45"/>
        <w:rPr>
          <w:rFonts w:hint="eastAsia" w:ascii="宋体" w:hAnsi="宋体" w:eastAsia="宋体" w:cs="宋体"/>
          <w:highlight w:val="none"/>
          <w:lang w:val="en-GB"/>
        </w:rPr>
      </w:pPr>
      <w:r>
        <w:rPr>
          <w:rFonts w:hint="eastAsia" w:ascii="宋体" w:hAnsi="宋体" w:eastAsia="宋体" w:cs="宋体"/>
          <w:highlight w:val="none"/>
          <w:lang w:val="en-GB"/>
        </w:rPr>
        <w:t>27.1 除按本须知“第25条”规定外，从谈判之日起至授予合同期间，供应商不得就其谈判有关事项与谈判小组私下接触。</w:t>
      </w:r>
    </w:p>
    <w:p w14:paraId="6B848854">
      <w:pPr>
        <w:pStyle w:val="45"/>
        <w:rPr>
          <w:rFonts w:hint="eastAsia" w:ascii="宋体" w:hAnsi="宋体" w:eastAsia="宋体" w:cs="宋体"/>
          <w:highlight w:val="none"/>
          <w:lang w:val="en-GB"/>
        </w:rPr>
      </w:pPr>
      <w:r>
        <w:rPr>
          <w:rFonts w:hint="eastAsia" w:ascii="宋体" w:hAnsi="宋体" w:eastAsia="宋体" w:cs="宋体"/>
          <w:highlight w:val="none"/>
          <w:lang w:val="en-GB"/>
        </w:rPr>
        <w:t>27.2 供应商试图对谈判小组的评审施加任何影响，都可能导致其响应文件作无效处理。</w:t>
      </w:r>
    </w:p>
    <w:p w14:paraId="15733639">
      <w:pPr>
        <w:spacing w:line="360" w:lineRule="auto"/>
        <w:rPr>
          <w:rFonts w:hint="eastAsia" w:ascii="宋体" w:hAnsi="宋体" w:eastAsia="宋体" w:cs="宋体"/>
          <w:b/>
          <w:sz w:val="24"/>
          <w:szCs w:val="24"/>
          <w:highlight w:val="none"/>
        </w:rPr>
      </w:pPr>
      <w:bookmarkStart w:id="41" w:name="_Toc376848253"/>
      <w:r>
        <w:rPr>
          <w:rFonts w:hint="eastAsia" w:ascii="宋体" w:hAnsi="宋体" w:eastAsia="宋体" w:cs="宋体"/>
          <w:b/>
          <w:sz w:val="24"/>
          <w:szCs w:val="24"/>
          <w:highlight w:val="none"/>
        </w:rPr>
        <w:t>28.终止竞争性谈判采购活动的情形</w:t>
      </w:r>
    </w:p>
    <w:p w14:paraId="29A98995">
      <w:pPr>
        <w:pStyle w:val="45"/>
        <w:rPr>
          <w:rFonts w:hint="eastAsia" w:ascii="宋体" w:hAnsi="宋体" w:eastAsia="宋体" w:cs="宋体"/>
          <w:highlight w:val="none"/>
          <w:lang w:val="en-GB"/>
        </w:rPr>
      </w:pPr>
      <w:r>
        <w:rPr>
          <w:rFonts w:hint="eastAsia" w:ascii="宋体" w:hAnsi="宋体" w:eastAsia="宋体" w:cs="宋体"/>
          <w:highlight w:val="none"/>
          <w:lang w:val="en-GB"/>
        </w:rPr>
        <w:t>出现下列情形之一的，终止竞争性谈判采购活动</w:t>
      </w:r>
      <w:r>
        <w:rPr>
          <w:rFonts w:hint="eastAsia" w:ascii="宋体" w:hAnsi="宋体" w:eastAsia="宋体" w:cs="宋体"/>
          <w:b/>
          <w:highlight w:val="none"/>
          <w:lang w:val="en-GB"/>
        </w:rPr>
        <w:t>：</w:t>
      </w:r>
    </w:p>
    <w:p w14:paraId="6B214912">
      <w:pPr>
        <w:pStyle w:val="45"/>
        <w:rPr>
          <w:rFonts w:hint="eastAsia" w:ascii="宋体" w:hAnsi="宋体" w:eastAsia="宋体" w:cs="宋体"/>
          <w:highlight w:val="none"/>
        </w:rPr>
      </w:pPr>
      <w:r>
        <w:rPr>
          <w:rFonts w:hint="eastAsia" w:ascii="宋体" w:hAnsi="宋体" w:eastAsia="宋体" w:cs="宋体"/>
          <w:highlight w:val="none"/>
        </w:rPr>
        <w:t>（1）因情况变化，不再符合规定的竞争性谈判采购方式适用情形的；</w:t>
      </w:r>
    </w:p>
    <w:p w14:paraId="522FCD76">
      <w:pPr>
        <w:pStyle w:val="45"/>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14:paraId="59E432AF">
      <w:pPr>
        <w:pStyle w:val="45"/>
        <w:rPr>
          <w:rFonts w:hint="eastAsia" w:ascii="宋体" w:hAnsi="宋体" w:eastAsia="宋体" w:cs="宋体"/>
          <w:highlight w:val="none"/>
        </w:rPr>
      </w:pPr>
      <w:r>
        <w:rPr>
          <w:rFonts w:hint="eastAsia" w:ascii="宋体" w:hAnsi="宋体" w:eastAsia="宋体" w:cs="宋体"/>
          <w:highlight w:val="none"/>
        </w:rPr>
        <w:t>（3）在采购过程中符合竞争要求的供应商或者报价未超过采购预算的供应商不足3家的。</w:t>
      </w:r>
    </w:p>
    <w:p w14:paraId="2BF4D290">
      <w:pPr>
        <w:pStyle w:val="42"/>
        <w:spacing w:before="240"/>
        <w:rPr>
          <w:rFonts w:hint="eastAsia" w:ascii="宋体" w:hAnsi="宋体" w:eastAsia="宋体" w:cs="宋体"/>
          <w:highlight w:val="none"/>
        </w:rPr>
      </w:pPr>
      <w:bookmarkStart w:id="42" w:name="_Toc377297026"/>
      <w:bookmarkStart w:id="43" w:name="_Toc9718"/>
      <w:r>
        <w:rPr>
          <w:rFonts w:hint="eastAsia" w:ascii="宋体" w:hAnsi="宋体" w:eastAsia="宋体" w:cs="宋体"/>
          <w:highlight w:val="none"/>
        </w:rPr>
        <w:t>七、推荐成交候选供应商、确定成交供应商</w:t>
      </w:r>
      <w:bookmarkEnd w:id="42"/>
      <w:bookmarkEnd w:id="43"/>
    </w:p>
    <w:p w14:paraId="45A0FB76">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29.推荐成交候选供应商方法</w:t>
      </w:r>
    </w:p>
    <w:p w14:paraId="20139B68">
      <w:pPr>
        <w:pStyle w:val="45"/>
        <w:rPr>
          <w:rFonts w:hint="eastAsia" w:ascii="宋体" w:hAnsi="宋体" w:eastAsia="宋体" w:cs="宋体"/>
          <w:highlight w:val="none"/>
          <w:lang w:val="en-GB"/>
        </w:rPr>
      </w:pPr>
      <w:r>
        <w:rPr>
          <w:rFonts w:hint="eastAsia" w:ascii="宋体" w:hAnsi="宋体" w:eastAsia="宋体" w:cs="宋体"/>
          <w:highlight w:val="none"/>
          <w:lang w:val="en-GB"/>
        </w:rPr>
        <w:t>29.1谈判小组从质量和服务均能满足采购文件实质性响应要求的供应商中，按照最后</w:t>
      </w:r>
      <w:r>
        <w:rPr>
          <w:rFonts w:hint="eastAsia" w:ascii="宋体" w:hAnsi="宋体" w:eastAsia="宋体" w:cs="宋体"/>
          <w:highlight w:val="none"/>
          <w:lang w:val="en-US" w:eastAsia="zh-CN"/>
        </w:rPr>
        <w:t>投标报价</w:t>
      </w:r>
      <w:r>
        <w:rPr>
          <w:rFonts w:hint="eastAsia" w:ascii="宋体" w:hAnsi="宋体" w:eastAsia="宋体" w:cs="宋体"/>
          <w:highlight w:val="none"/>
          <w:lang w:val="en-GB"/>
        </w:rPr>
        <w:t>由</w:t>
      </w:r>
      <w:r>
        <w:rPr>
          <w:rFonts w:hint="eastAsia" w:ascii="宋体" w:hAnsi="宋体" w:eastAsia="宋体" w:cs="宋体"/>
          <w:highlight w:val="none"/>
          <w:lang w:val="en-US" w:eastAsia="zh-CN"/>
        </w:rPr>
        <w:t>低</w:t>
      </w:r>
      <w:r>
        <w:rPr>
          <w:rFonts w:hint="eastAsia" w:ascii="宋体" w:hAnsi="宋体" w:eastAsia="宋体" w:cs="宋体"/>
          <w:highlight w:val="none"/>
          <w:lang w:val="en-GB"/>
        </w:rPr>
        <w:t>到</w:t>
      </w:r>
      <w:r>
        <w:rPr>
          <w:rFonts w:hint="eastAsia" w:ascii="宋体" w:hAnsi="宋体" w:eastAsia="宋体" w:cs="宋体"/>
          <w:highlight w:val="none"/>
          <w:lang w:val="en-US" w:eastAsia="zh-CN"/>
        </w:rPr>
        <w:t>高</w:t>
      </w:r>
      <w:r>
        <w:rPr>
          <w:rFonts w:hint="eastAsia" w:ascii="宋体" w:hAnsi="宋体" w:eastAsia="宋体" w:cs="宋体"/>
          <w:highlight w:val="none"/>
          <w:lang w:val="en-GB"/>
        </w:rPr>
        <w:t>的顺序提出3名以上成交候选人，并编写评审报告。</w:t>
      </w:r>
    </w:p>
    <w:p w14:paraId="0D5AFC38">
      <w:pPr>
        <w:pStyle w:val="45"/>
        <w:rPr>
          <w:rFonts w:hint="eastAsia" w:ascii="宋体" w:hAnsi="宋体" w:eastAsia="宋体" w:cs="宋体"/>
          <w:highlight w:val="none"/>
          <w:lang w:val="en-GB"/>
        </w:rPr>
      </w:pPr>
      <w:r>
        <w:rPr>
          <w:rFonts w:hint="eastAsia" w:ascii="宋体" w:hAnsi="宋体" w:eastAsia="宋体" w:cs="宋体"/>
          <w:highlight w:val="none"/>
          <w:lang w:val="en-GB"/>
        </w:rPr>
        <w:t>29.2最终</w:t>
      </w:r>
      <w:r>
        <w:rPr>
          <w:rFonts w:hint="eastAsia" w:ascii="宋体" w:hAnsi="宋体" w:eastAsia="宋体" w:cs="宋体"/>
          <w:highlight w:val="none"/>
          <w:lang w:val="en-US" w:eastAsia="zh-CN"/>
        </w:rPr>
        <w:t>投标报价</w:t>
      </w:r>
      <w:r>
        <w:rPr>
          <w:rFonts w:hint="eastAsia" w:ascii="宋体" w:hAnsi="宋体" w:eastAsia="宋体" w:cs="宋体"/>
          <w:highlight w:val="none"/>
          <w:lang w:val="en-GB"/>
        </w:rPr>
        <w:t>相同的，由</w:t>
      </w:r>
      <w:r>
        <w:rPr>
          <w:rFonts w:hint="eastAsia" w:ascii="宋体" w:hAnsi="宋体" w:eastAsia="宋体" w:cs="宋体"/>
          <w:highlight w:val="none"/>
          <w:lang w:val="en-US" w:eastAsia="zh-CN"/>
        </w:rPr>
        <w:t>采购人现场</w:t>
      </w:r>
      <w:r>
        <w:rPr>
          <w:rFonts w:hint="eastAsia" w:ascii="宋体" w:hAnsi="宋体" w:eastAsia="宋体" w:cs="宋体"/>
          <w:highlight w:val="none"/>
          <w:lang w:val="en-GB"/>
        </w:rPr>
        <w:t>随机抽取确定排序。</w:t>
      </w:r>
    </w:p>
    <w:p w14:paraId="1CBCF428">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30.确定成交供应商</w:t>
      </w:r>
    </w:p>
    <w:p w14:paraId="410981F7">
      <w:pPr>
        <w:pStyle w:val="45"/>
        <w:rPr>
          <w:rFonts w:hint="eastAsia" w:ascii="宋体" w:hAnsi="宋体" w:eastAsia="宋体" w:cs="宋体"/>
          <w:highlight w:val="none"/>
        </w:rPr>
      </w:pPr>
      <w:r>
        <w:rPr>
          <w:rFonts w:hint="eastAsia" w:ascii="宋体" w:hAnsi="宋体" w:eastAsia="宋体" w:cs="宋体"/>
          <w:highlight w:val="none"/>
        </w:rPr>
        <w:t>30.1采购代理机构在谈判结束后将评审报告送采购人。</w:t>
      </w:r>
    </w:p>
    <w:p w14:paraId="129EBD8E">
      <w:pPr>
        <w:pStyle w:val="45"/>
        <w:rPr>
          <w:rFonts w:hint="eastAsia" w:ascii="宋体" w:hAnsi="宋体" w:eastAsia="宋体" w:cs="宋体"/>
          <w:bCs/>
          <w:highlight w:val="none"/>
        </w:rPr>
      </w:pPr>
      <w:r>
        <w:rPr>
          <w:rFonts w:hint="eastAsia" w:ascii="宋体" w:hAnsi="宋体" w:eastAsia="宋体" w:cs="宋体"/>
          <w:highlight w:val="none"/>
        </w:rPr>
        <w:t>30.2采购人收到评审报告后，按照评审报告推荐的成交候选人顺序确定成交供应商。也可以事先授权谈判小组直接确定成交供应商。</w:t>
      </w:r>
    </w:p>
    <w:bookmarkEnd w:id="41"/>
    <w:p w14:paraId="463E6AF8">
      <w:pPr>
        <w:pStyle w:val="42"/>
        <w:spacing w:before="240"/>
        <w:rPr>
          <w:rFonts w:hint="eastAsia" w:ascii="宋体" w:hAnsi="宋体" w:eastAsia="宋体" w:cs="宋体"/>
          <w:highlight w:val="none"/>
        </w:rPr>
      </w:pPr>
      <w:bookmarkStart w:id="44" w:name="_Toc376848254"/>
      <w:bookmarkStart w:id="45" w:name="_Toc6143"/>
      <w:bookmarkStart w:id="46" w:name="_Toc286758340"/>
      <w:r>
        <w:rPr>
          <w:rFonts w:hint="eastAsia" w:ascii="宋体" w:hAnsi="宋体" w:eastAsia="宋体" w:cs="宋体"/>
          <w:highlight w:val="none"/>
        </w:rPr>
        <w:t>八、成交结果公告</w:t>
      </w:r>
      <w:bookmarkEnd w:id="44"/>
      <w:r>
        <w:rPr>
          <w:rFonts w:hint="eastAsia" w:ascii="宋体" w:hAnsi="宋体" w:eastAsia="宋体" w:cs="宋体"/>
          <w:highlight w:val="none"/>
        </w:rPr>
        <w:t>、成交通知书</w:t>
      </w:r>
      <w:bookmarkEnd w:id="45"/>
    </w:p>
    <w:p w14:paraId="7CDD0ADF">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31. </w:t>
      </w:r>
      <w:bookmarkEnd w:id="46"/>
      <w:r>
        <w:rPr>
          <w:rFonts w:hint="eastAsia" w:ascii="宋体" w:hAnsi="宋体" w:eastAsia="宋体" w:cs="宋体"/>
          <w:b/>
          <w:bCs/>
          <w:sz w:val="24"/>
          <w:szCs w:val="24"/>
          <w:highlight w:val="none"/>
        </w:rPr>
        <w:t>成交结果公告</w:t>
      </w:r>
    </w:p>
    <w:p w14:paraId="4C1E0D44">
      <w:pPr>
        <w:pStyle w:val="45"/>
        <w:rPr>
          <w:rFonts w:hint="eastAsia" w:ascii="宋体" w:hAnsi="宋体" w:eastAsia="宋体" w:cs="宋体"/>
          <w:highlight w:val="none"/>
        </w:rPr>
      </w:pPr>
      <w:r>
        <w:rPr>
          <w:rFonts w:hint="eastAsia" w:ascii="宋体" w:hAnsi="宋体" w:eastAsia="宋体" w:cs="宋体"/>
          <w:highlight w:val="none"/>
        </w:rPr>
        <w:t>成交供应商确定后，采购代理机构在东乡区人民政府网（公共资源交易）网站</w:t>
      </w:r>
      <w:r>
        <w:rPr>
          <w:rFonts w:hint="eastAsia" w:ascii="宋体" w:hAnsi="宋体" w:eastAsia="宋体" w:cs="宋体"/>
          <w:highlight w:val="none"/>
          <w:lang w:eastAsia="zh-CN"/>
        </w:rPr>
        <w:t>、</w:t>
      </w:r>
      <w:r>
        <w:rPr>
          <w:rFonts w:hint="eastAsia" w:ascii="宋体" w:hAnsi="宋体" w:eastAsia="宋体" w:cs="宋体"/>
          <w:sz w:val="24"/>
          <w:szCs w:val="24"/>
          <w:highlight w:val="none"/>
          <w:lang w:val="en-US" w:eastAsia="zh-CN"/>
        </w:rPr>
        <w:t>东乡区公共资源交易中心、</w:t>
      </w:r>
      <w:r>
        <w:rPr>
          <w:rFonts w:hint="eastAsia" w:ascii="宋体" w:hAnsi="宋体" w:eastAsia="宋体" w:cs="宋体"/>
          <w:sz w:val="24"/>
          <w:szCs w:val="24"/>
          <w:highlight w:val="none"/>
          <w:lang w:eastAsia="zh-CN"/>
        </w:rPr>
        <w:t>抚州市东乡区工业与科技创新投资集团有限公司</w:t>
      </w:r>
      <w:r>
        <w:rPr>
          <w:rFonts w:hint="eastAsia" w:ascii="宋体" w:hAnsi="宋体" w:eastAsia="宋体" w:cs="宋体"/>
          <w:sz w:val="24"/>
          <w:szCs w:val="24"/>
          <w:highlight w:val="none"/>
        </w:rPr>
        <w:t>官网</w:t>
      </w:r>
      <w:r>
        <w:rPr>
          <w:rFonts w:hint="eastAsia" w:ascii="宋体" w:hAnsi="宋体" w:eastAsia="宋体" w:cs="宋体"/>
          <w:highlight w:val="none"/>
        </w:rPr>
        <w:t>上公告成交结果，公告期限为1个工作日。</w:t>
      </w:r>
    </w:p>
    <w:p w14:paraId="6CB90129">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32.成交通知书</w:t>
      </w:r>
    </w:p>
    <w:p w14:paraId="2DAA2505">
      <w:pPr>
        <w:pStyle w:val="45"/>
        <w:rPr>
          <w:rFonts w:hint="eastAsia" w:ascii="宋体" w:hAnsi="宋体" w:eastAsia="宋体" w:cs="宋体"/>
          <w:highlight w:val="none"/>
        </w:rPr>
      </w:pPr>
      <w:r>
        <w:rPr>
          <w:rFonts w:hint="eastAsia" w:ascii="宋体" w:hAnsi="宋体" w:eastAsia="宋体" w:cs="宋体"/>
          <w:highlight w:val="none"/>
        </w:rPr>
        <w:t>32.1采购代理机构公告成交结果，向成交供应商发出成交通知书，并通知所有未成交的供应商。</w:t>
      </w:r>
    </w:p>
    <w:p w14:paraId="01B63C7E">
      <w:pPr>
        <w:pStyle w:val="45"/>
        <w:rPr>
          <w:rFonts w:hint="eastAsia" w:ascii="宋体" w:hAnsi="宋体" w:eastAsia="宋体" w:cs="宋体"/>
          <w:highlight w:val="none"/>
        </w:rPr>
      </w:pPr>
      <w:r>
        <w:rPr>
          <w:rFonts w:hint="eastAsia" w:ascii="宋体" w:hAnsi="宋体" w:eastAsia="宋体" w:cs="宋体"/>
          <w:highlight w:val="none"/>
        </w:rPr>
        <w:t>32.2成交通知书是合同的一个组成部分。</w:t>
      </w:r>
    </w:p>
    <w:p w14:paraId="405D93C4">
      <w:pPr>
        <w:pStyle w:val="42"/>
        <w:spacing w:before="240"/>
        <w:rPr>
          <w:rFonts w:hint="eastAsia" w:ascii="宋体" w:hAnsi="宋体" w:eastAsia="宋体" w:cs="宋体"/>
          <w:highlight w:val="none"/>
        </w:rPr>
      </w:pPr>
      <w:bookmarkStart w:id="47" w:name="_Toc567"/>
      <w:r>
        <w:rPr>
          <w:rFonts w:hint="eastAsia" w:ascii="宋体" w:hAnsi="宋体" w:eastAsia="宋体" w:cs="宋体"/>
          <w:highlight w:val="none"/>
        </w:rPr>
        <w:t>九、履约保证金、签订合同</w:t>
      </w:r>
      <w:bookmarkEnd w:id="47"/>
    </w:p>
    <w:p w14:paraId="6A61C86B">
      <w:pPr>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履约保证金</w:t>
      </w:r>
    </w:p>
    <w:p w14:paraId="6544CDC3">
      <w:pPr>
        <w:pStyle w:val="45"/>
        <w:rPr>
          <w:rFonts w:hint="eastAsia" w:ascii="宋体" w:hAnsi="宋体" w:eastAsia="宋体" w:cs="宋体"/>
          <w:highlight w:val="none"/>
        </w:rPr>
      </w:pPr>
      <w:r>
        <w:rPr>
          <w:rFonts w:hint="eastAsia" w:ascii="宋体" w:hAnsi="宋体" w:eastAsia="宋体" w:cs="宋体"/>
          <w:highlight w:val="none"/>
        </w:rPr>
        <w:t>33.1中标人在与招标人签订采购合同之前，应向招标人提交“投标人须知前附表”规定的履约保证金。履约保证金按招标人的要求汇入招标人指定账户。</w:t>
      </w:r>
    </w:p>
    <w:p w14:paraId="619CAFE0">
      <w:pPr>
        <w:pStyle w:val="45"/>
        <w:rPr>
          <w:rFonts w:hint="eastAsia" w:ascii="宋体" w:hAnsi="宋体" w:eastAsia="宋体" w:cs="宋体"/>
          <w:highlight w:val="none"/>
        </w:rPr>
      </w:pPr>
      <w:r>
        <w:rPr>
          <w:rFonts w:hint="eastAsia" w:ascii="宋体" w:hAnsi="宋体" w:eastAsia="宋体" w:cs="宋体"/>
          <w:highlight w:val="none"/>
        </w:rPr>
        <w:t>33.2 履约保证金用于补偿因中标人不能完成其合同义务而使招标人蒙受的损失。</w:t>
      </w:r>
    </w:p>
    <w:p w14:paraId="4DD3314B">
      <w:pPr>
        <w:pStyle w:val="45"/>
        <w:rPr>
          <w:rFonts w:hint="eastAsia" w:ascii="宋体" w:hAnsi="宋体" w:eastAsia="宋体" w:cs="宋体"/>
          <w:b/>
          <w:bCs/>
          <w:highlight w:val="none"/>
        </w:rPr>
      </w:pPr>
      <w:r>
        <w:rPr>
          <w:rFonts w:hint="eastAsia" w:ascii="宋体" w:hAnsi="宋体" w:eastAsia="宋体" w:cs="宋体"/>
          <w:highlight w:val="none"/>
        </w:rPr>
        <w:t>33.3如果中标人没有按本须知“第33.1条”规定执行，招标人将有充分理由取消该中标决定，在此情况下可以与排位在中标人之后第一位的中标候选供应商签订采购合同，以此类推；或重新组织招标。</w:t>
      </w:r>
    </w:p>
    <w:p w14:paraId="5C9EF4E6">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签订合同</w:t>
      </w:r>
    </w:p>
    <w:p w14:paraId="162C6914">
      <w:pPr>
        <w:pStyle w:val="45"/>
        <w:rPr>
          <w:rFonts w:hint="eastAsia" w:ascii="宋体" w:hAnsi="宋体" w:eastAsia="宋体" w:cs="宋体"/>
          <w:highlight w:val="none"/>
        </w:rPr>
      </w:pPr>
      <w:r>
        <w:rPr>
          <w:rFonts w:hint="eastAsia" w:ascii="宋体" w:hAnsi="宋体" w:eastAsia="宋体" w:cs="宋体"/>
          <w:highlight w:val="none"/>
        </w:rPr>
        <w:t>34.1 成交供应商应按成交通知书规定的时间、地点与采购人签订合同，否则按谈判文件“15.5”条处理。</w:t>
      </w:r>
    </w:p>
    <w:p w14:paraId="322E43D6">
      <w:pPr>
        <w:pStyle w:val="45"/>
        <w:rPr>
          <w:rFonts w:hint="eastAsia" w:ascii="宋体" w:hAnsi="宋体" w:eastAsia="宋体" w:cs="宋体"/>
          <w:highlight w:val="none"/>
        </w:rPr>
      </w:pPr>
      <w:r>
        <w:rPr>
          <w:rFonts w:hint="eastAsia" w:ascii="宋体" w:hAnsi="宋体" w:eastAsia="宋体" w:cs="宋体"/>
          <w:highlight w:val="none"/>
        </w:rPr>
        <w:t>34.2 谈判文件、成交供应商的响应文件及评审过程中有关澄清文件均为签订合同的依据。</w:t>
      </w:r>
    </w:p>
    <w:p w14:paraId="256B63EF">
      <w:pPr>
        <w:pStyle w:val="45"/>
        <w:rPr>
          <w:rFonts w:hint="eastAsia" w:ascii="宋体" w:hAnsi="宋体" w:eastAsia="宋体" w:cs="宋体"/>
          <w:highlight w:val="none"/>
        </w:rPr>
      </w:pPr>
      <w:r>
        <w:rPr>
          <w:rFonts w:hint="eastAsia" w:ascii="宋体" w:hAnsi="宋体" w:eastAsia="宋体" w:cs="宋体"/>
          <w:highlight w:val="none"/>
        </w:rPr>
        <w:t>34.3合同履行中，采购人需追加与合同标的相同的，在不改变合同其他条款的前提下，可以与供应商协商签订补充合同，但所有补充合同的采购金额不得超过原合同采购金额的百分之十。</w:t>
      </w:r>
    </w:p>
    <w:p w14:paraId="6220344F">
      <w:pPr>
        <w:pStyle w:val="45"/>
        <w:rPr>
          <w:rFonts w:hint="eastAsia" w:ascii="宋体" w:hAnsi="宋体" w:eastAsia="宋体" w:cs="宋体"/>
          <w:highlight w:val="none"/>
        </w:rPr>
      </w:pPr>
      <w:r>
        <w:rPr>
          <w:rFonts w:hint="eastAsia" w:ascii="宋体" w:hAnsi="宋体" w:eastAsia="宋体" w:cs="宋体"/>
          <w:highlight w:val="none"/>
        </w:rPr>
        <w:t>34.4成交供应商拒绝签订采购合同的，采购人可以按本须知“第30条”规定的原则确定下一个候选人为成交供应商，也可以重新开展采购活动。拒绝签订采购合同的成交供应商不得参加该项目重新开展的采购活动，并不予退还其交纳的谈判保证金，同时上报省财政监管部门依法处理。</w:t>
      </w:r>
    </w:p>
    <w:p w14:paraId="153E6443">
      <w:pPr>
        <w:pStyle w:val="42"/>
        <w:spacing w:before="240"/>
        <w:rPr>
          <w:rFonts w:hint="eastAsia" w:ascii="宋体" w:hAnsi="宋体" w:eastAsia="宋体" w:cs="宋体"/>
          <w:highlight w:val="none"/>
        </w:rPr>
      </w:pPr>
      <w:bookmarkStart w:id="48" w:name="_Toc2433"/>
      <w:r>
        <w:rPr>
          <w:rFonts w:hint="eastAsia" w:ascii="宋体" w:hAnsi="宋体" w:eastAsia="宋体" w:cs="宋体"/>
          <w:highlight w:val="none"/>
        </w:rPr>
        <w:t>十、询问和质疑</w:t>
      </w:r>
      <w:bookmarkEnd w:id="48"/>
    </w:p>
    <w:p w14:paraId="4BBAD39F">
      <w:pPr>
        <w:spacing w:line="360" w:lineRule="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35.</w:t>
      </w:r>
      <w:r>
        <w:rPr>
          <w:rFonts w:hint="eastAsia" w:ascii="宋体" w:hAnsi="宋体" w:eastAsia="宋体" w:cs="宋体"/>
          <w:b/>
          <w:bCs/>
          <w:sz w:val="24"/>
          <w:szCs w:val="24"/>
          <w:highlight w:val="none"/>
        </w:rPr>
        <w:t>询问</w:t>
      </w:r>
    </w:p>
    <w:p w14:paraId="6D88A739">
      <w:pPr>
        <w:pStyle w:val="45"/>
        <w:rPr>
          <w:rFonts w:hint="eastAsia" w:ascii="宋体" w:hAnsi="宋体" w:eastAsia="宋体" w:cs="宋体"/>
          <w:highlight w:val="none"/>
        </w:rPr>
      </w:pPr>
      <w:r>
        <w:rPr>
          <w:rFonts w:hint="eastAsia" w:ascii="宋体" w:hAnsi="宋体" w:eastAsia="宋体" w:cs="宋体"/>
          <w:highlight w:val="none"/>
        </w:rPr>
        <w:t>供应商对采购活动事项有疑问的，可以向采购人或者采购代理机构提出询问，采购代理机构应当在3个工作日内对供应商依法提出的询问作出答复。</w:t>
      </w:r>
    </w:p>
    <w:p w14:paraId="1C49380E">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36.质疑</w:t>
      </w:r>
    </w:p>
    <w:p w14:paraId="3D573B9B">
      <w:pPr>
        <w:pStyle w:val="45"/>
        <w:rPr>
          <w:rFonts w:hint="eastAsia" w:ascii="宋体" w:hAnsi="宋体" w:eastAsia="宋体" w:cs="宋体"/>
          <w:highlight w:val="none"/>
        </w:rPr>
      </w:pPr>
      <w:r>
        <w:rPr>
          <w:rFonts w:hint="eastAsia" w:ascii="宋体" w:hAnsi="宋体" w:eastAsia="宋体" w:cs="宋体"/>
          <w:highlight w:val="none"/>
        </w:rPr>
        <w:t>36.1 供应商认为谈判文件、谈判过程、成交结果使自己的权益受到损害的，可以在知道或者应知其权益受到损害之日起7个工作日内，以书面形式向采购人、采购代理机构提出质疑。</w:t>
      </w:r>
    </w:p>
    <w:p w14:paraId="34562E86">
      <w:pPr>
        <w:pStyle w:val="45"/>
        <w:rPr>
          <w:rFonts w:hint="eastAsia" w:ascii="宋体" w:hAnsi="宋体" w:eastAsia="宋体" w:cs="宋体"/>
          <w:highlight w:val="none"/>
        </w:rPr>
      </w:pPr>
      <w:r>
        <w:rPr>
          <w:rFonts w:hint="eastAsia" w:ascii="宋体" w:hAnsi="宋体" w:eastAsia="宋体" w:cs="宋体"/>
          <w:highlight w:val="none"/>
        </w:rPr>
        <w:t>1）对可以质疑的谈判文件提出质疑的，为收到谈判文件之日或者谈判文件公告期限届满之日起7个工作日内；</w:t>
      </w:r>
    </w:p>
    <w:p w14:paraId="09AB20AE">
      <w:pPr>
        <w:pStyle w:val="45"/>
        <w:rPr>
          <w:rFonts w:hint="eastAsia" w:ascii="宋体" w:hAnsi="宋体" w:eastAsia="宋体" w:cs="宋体"/>
          <w:highlight w:val="none"/>
        </w:rPr>
      </w:pPr>
      <w:r>
        <w:rPr>
          <w:rFonts w:hint="eastAsia" w:ascii="宋体" w:hAnsi="宋体" w:eastAsia="宋体" w:cs="宋体"/>
          <w:highlight w:val="none"/>
        </w:rPr>
        <w:t>2）对谈判过程提出质疑的，为各谈判程序环节结束之日起7个工作日内；</w:t>
      </w:r>
    </w:p>
    <w:p w14:paraId="14564E7A">
      <w:pPr>
        <w:pStyle w:val="45"/>
        <w:rPr>
          <w:rFonts w:hint="eastAsia" w:ascii="宋体" w:hAnsi="宋体" w:eastAsia="宋体" w:cs="宋体"/>
          <w:highlight w:val="none"/>
        </w:rPr>
      </w:pPr>
      <w:r>
        <w:rPr>
          <w:rFonts w:hint="eastAsia" w:ascii="宋体" w:hAnsi="宋体" w:eastAsia="宋体" w:cs="宋体"/>
          <w:highlight w:val="none"/>
        </w:rPr>
        <w:t>3）对成交结果提出质疑的，为成交结果公告期限届满之日起7个工作日内。</w:t>
      </w:r>
    </w:p>
    <w:p w14:paraId="10A849F4">
      <w:pPr>
        <w:pStyle w:val="45"/>
        <w:rPr>
          <w:rFonts w:hint="eastAsia" w:ascii="宋体" w:hAnsi="宋体" w:eastAsia="宋体" w:cs="宋体"/>
          <w:highlight w:val="none"/>
        </w:rPr>
      </w:pPr>
      <w:r>
        <w:rPr>
          <w:rFonts w:hint="eastAsia" w:ascii="宋体" w:hAnsi="宋体" w:eastAsia="宋体" w:cs="宋体"/>
          <w:highlight w:val="none"/>
        </w:rPr>
        <w:t>36.2 供应商应在法定质疑期内一次性提出针对同一采购程序环节的质疑。</w:t>
      </w:r>
    </w:p>
    <w:p w14:paraId="2096AFA8">
      <w:pPr>
        <w:pStyle w:val="45"/>
        <w:rPr>
          <w:rFonts w:hint="eastAsia" w:ascii="宋体" w:hAnsi="宋体" w:eastAsia="宋体" w:cs="宋体"/>
          <w:highlight w:val="none"/>
        </w:rPr>
      </w:pPr>
      <w:r>
        <w:rPr>
          <w:rFonts w:hint="eastAsia" w:ascii="宋体" w:hAnsi="宋体" w:eastAsia="宋体" w:cs="宋体"/>
          <w:highlight w:val="none"/>
        </w:rPr>
        <w:t>36.3 提出质疑的供应商应当是参与所质疑项目采购活动的供应商。</w:t>
      </w:r>
    </w:p>
    <w:p w14:paraId="13A5EC44">
      <w:pPr>
        <w:pStyle w:val="45"/>
        <w:rPr>
          <w:rFonts w:hint="eastAsia" w:ascii="宋体" w:hAnsi="宋体" w:eastAsia="宋体" w:cs="宋体"/>
          <w:highlight w:val="none"/>
        </w:rPr>
      </w:pPr>
      <w:r>
        <w:rPr>
          <w:rFonts w:hint="eastAsia" w:ascii="宋体" w:hAnsi="宋体" w:eastAsia="宋体" w:cs="宋体"/>
          <w:highlight w:val="none"/>
        </w:rPr>
        <w:t>36.4潜在供应商已依法获取其可质疑的谈判文件的，可以对该文件提出质疑。</w:t>
      </w:r>
    </w:p>
    <w:p w14:paraId="5E04D73B">
      <w:pPr>
        <w:pStyle w:val="45"/>
        <w:rPr>
          <w:rFonts w:hint="eastAsia" w:ascii="宋体" w:hAnsi="宋体" w:eastAsia="宋体" w:cs="宋体"/>
          <w:highlight w:val="none"/>
        </w:rPr>
      </w:pPr>
      <w:r>
        <w:rPr>
          <w:rFonts w:hint="eastAsia" w:ascii="宋体" w:hAnsi="宋体" w:eastAsia="宋体" w:cs="宋体"/>
          <w:highlight w:val="none"/>
        </w:rPr>
        <w:t>36.5供应商提出质疑应当提交质疑函和必要的证明材料。质疑函应当包括下列内容。</w:t>
      </w:r>
    </w:p>
    <w:p w14:paraId="2F2E7207">
      <w:pPr>
        <w:pStyle w:val="45"/>
        <w:rPr>
          <w:rFonts w:hint="eastAsia" w:ascii="宋体" w:hAnsi="宋体" w:eastAsia="宋体" w:cs="宋体"/>
          <w:highlight w:val="none"/>
        </w:rPr>
      </w:pPr>
      <w:r>
        <w:rPr>
          <w:rFonts w:hint="eastAsia" w:ascii="宋体" w:hAnsi="宋体" w:eastAsia="宋体" w:cs="宋体"/>
          <w:highlight w:val="none"/>
        </w:rPr>
        <w:t>　　（一）供应商的姓名或者名称、地址、邮编、联系人及联系电话；</w:t>
      </w:r>
    </w:p>
    <w:p w14:paraId="553611A9">
      <w:pPr>
        <w:pStyle w:val="45"/>
        <w:rPr>
          <w:rFonts w:hint="eastAsia" w:ascii="宋体" w:hAnsi="宋体" w:eastAsia="宋体" w:cs="宋体"/>
          <w:highlight w:val="none"/>
        </w:rPr>
      </w:pPr>
      <w:r>
        <w:rPr>
          <w:rFonts w:hint="eastAsia" w:ascii="宋体" w:hAnsi="宋体" w:eastAsia="宋体" w:cs="宋体"/>
          <w:highlight w:val="none"/>
        </w:rPr>
        <w:t>　　（二）质疑项目的名称、编号；</w:t>
      </w:r>
    </w:p>
    <w:p w14:paraId="1756BB29">
      <w:pPr>
        <w:pStyle w:val="45"/>
        <w:rPr>
          <w:rFonts w:hint="eastAsia" w:ascii="宋体" w:hAnsi="宋体" w:eastAsia="宋体" w:cs="宋体"/>
          <w:highlight w:val="none"/>
        </w:rPr>
      </w:pPr>
      <w:r>
        <w:rPr>
          <w:rFonts w:hint="eastAsia" w:ascii="宋体" w:hAnsi="宋体" w:eastAsia="宋体" w:cs="宋体"/>
          <w:highlight w:val="none"/>
        </w:rPr>
        <w:t>　　（三）具体、明确的质疑事项和与质疑事项相关的请求；</w:t>
      </w:r>
    </w:p>
    <w:p w14:paraId="733A3002">
      <w:pPr>
        <w:pStyle w:val="45"/>
        <w:rPr>
          <w:rFonts w:hint="eastAsia" w:ascii="宋体" w:hAnsi="宋体" w:eastAsia="宋体" w:cs="宋体"/>
          <w:highlight w:val="none"/>
        </w:rPr>
      </w:pPr>
      <w:r>
        <w:rPr>
          <w:rFonts w:hint="eastAsia" w:ascii="宋体" w:hAnsi="宋体" w:eastAsia="宋体" w:cs="宋体"/>
          <w:highlight w:val="none"/>
        </w:rPr>
        <w:t>　　（四）事实依据；</w:t>
      </w:r>
    </w:p>
    <w:p w14:paraId="389567A2">
      <w:pPr>
        <w:pStyle w:val="45"/>
        <w:rPr>
          <w:rFonts w:hint="eastAsia" w:ascii="宋体" w:hAnsi="宋体" w:eastAsia="宋体" w:cs="宋体"/>
          <w:highlight w:val="none"/>
        </w:rPr>
      </w:pPr>
      <w:r>
        <w:rPr>
          <w:rFonts w:hint="eastAsia" w:ascii="宋体" w:hAnsi="宋体" w:eastAsia="宋体" w:cs="宋体"/>
          <w:highlight w:val="none"/>
        </w:rPr>
        <w:t>　　（五）必要的法律依据；</w:t>
      </w:r>
    </w:p>
    <w:p w14:paraId="4720375A">
      <w:pPr>
        <w:pStyle w:val="45"/>
        <w:rPr>
          <w:rFonts w:hint="eastAsia" w:ascii="宋体" w:hAnsi="宋体" w:eastAsia="宋体" w:cs="宋体"/>
          <w:highlight w:val="none"/>
        </w:rPr>
      </w:pPr>
      <w:r>
        <w:rPr>
          <w:rFonts w:hint="eastAsia" w:ascii="宋体" w:hAnsi="宋体" w:eastAsia="宋体" w:cs="宋体"/>
          <w:highlight w:val="none"/>
        </w:rPr>
        <w:t>　　（六）提出质疑的日期。</w:t>
      </w:r>
    </w:p>
    <w:p w14:paraId="335B0E69">
      <w:pPr>
        <w:pStyle w:val="45"/>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供应商为自然人的，应当由本人签字；供应商为法人或者其他组织的，应当由法定代表人、主要负责人，或者其授权代表签字或者盖章，并加盖公章。</w:t>
      </w:r>
    </w:p>
    <w:p w14:paraId="57510D7C">
      <w:pPr>
        <w:pStyle w:val="45"/>
        <w:rPr>
          <w:rFonts w:hint="eastAsia" w:ascii="宋体" w:hAnsi="宋体" w:eastAsia="宋体" w:cs="宋体"/>
          <w:highlight w:val="none"/>
        </w:rPr>
      </w:pPr>
      <w:r>
        <w:rPr>
          <w:rFonts w:hint="eastAsia" w:ascii="宋体" w:hAnsi="宋体" w:eastAsia="宋体" w:cs="宋体"/>
          <w:highlight w:val="none"/>
        </w:rPr>
        <w:t>对谈判文件质疑的，须同时提供下载谈判文件的凭证。</w:t>
      </w:r>
    </w:p>
    <w:p w14:paraId="54C7D77C">
      <w:pPr>
        <w:pStyle w:val="45"/>
        <w:rPr>
          <w:rFonts w:hint="eastAsia" w:ascii="宋体" w:hAnsi="宋体" w:eastAsia="宋体" w:cs="宋体"/>
          <w:highlight w:val="none"/>
        </w:rPr>
      </w:pPr>
      <w:r>
        <w:rPr>
          <w:rFonts w:hint="eastAsia" w:ascii="宋体" w:hAnsi="宋体" w:eastAsia="宋体" w:cs="宋体"/>
          <w:highlight w:val="none"/>
        </w:rPr>
        <w:t>36.6质疑函接收方式</w:t>
      </w:r>
    </w:p>
    <w:p w14:paraId="2B6021F7">
      <w:pPr>
        <w:pStyle w:val="45"/>
        <w:rPr>
          <w:rFonts w:hint="eastAsia" w:ascii="宋体" w:hAnsi="宋体" w:eastAsia="宋体" w:cs="宋体"/>
          <w:highlight w:val="none"/>
        </w:rPr>
      </w:pPr>
      <w:r>
        <w:rPr>
          <w:rFonts w:hint="eastAsia" w:ascii="宋体" w:hAnsi="宋体" w:eastAsia="宋体" w:cs="宋体"/>
          <w:highlight w:val="none"/>
        </w:rPr>
        <w:t>36.6.1对谈判文件质疑</w:t>
      </w:r>
    </w:p>
    <w:p w14:paraId="11930F73">
      <w:pPr>
        <w:pStyle w:val="45"/>
        <w:rPr>
          <w:rFonts w:hint="eastAsia" w:ascii="宋体" w:hAnsi="宋体" w:eastAsia="宋体" w:cs="宋体"/>
          <w:highlight w:val="none"/>
          <w:lang w:eastAsia="zh-CN"/>
        </w:rPr>
      </w:pPr>
      <w:bookmarkStart w:id="49" w:name="_Toc45786108"/>
      <w:r>
        <w:rPr>
          <w:rFonts w:hint="eastAsia" w:ascii="宋体" w:hAnsi="宋体" w:eastAsia="宋体" w:cs="宋体"/>
          <w:highlight w:val="none"/>
        </w:rPr>
        <w:t>接收部门：</w:t>
      </w:r>
      <w:r>
        <w:rPr>
          <w:rFonts w:hint="eastAsia" w:ascii="宋体" w:hAnsi="宋体" w:eastAsia="宋体" w:cs="宋体"/>
          <w:highlight w:val="none"/>
          <w:lang w:eastAsia="zh-CN"/>
        </w:rPr>
        <w:t>江西北涛建设工程咨询有限公司</w:t>
      </w:r>
    </w:p>
    <w:p w14:paraId="0535D143">
      <w:pPr>
        <w:pStyle w:val="45"/>
        <w:rPr>
          <w:rFonts w:hint="default" w:ascii="宋体" w:hAnsi="宋体" w:eastAsia="宋体" w:cs="宋体"/>
          <w:highlight w:val="none"/>
          <w:lang w:val="en-US" w:eastAsia="zh-CN"/>
        </w:rPr>
      </w:pPr>
      <w:r>
        <w:rPr>
          <w:rFonts w:hint="eastAsia" w:ascii="宋体" w:hAnsi="宋体" w:eastAsia="宋体" w:cs="宋体"/>
          <w:highlight w:val="none"/>
        </w:rPr>
        <w:t>联系电话：</w:t>
      </w:r>
      <w:r>
        <w:rPr>
          <w:rFonts w:hint="eastAsia" w:ascii="宋体" w:hAnsi="宋体" w:eastAsia="宋体" w:cs="宋体"/>
          <w:highlight w:val="none"/>
          <w:lang w:val="en-US" w:eastAsia="zh-CN"/>
        </w:rPr>
        <w:t>18970029963</w:t>
      </w:r>
    </w:p>
    <w:p w14:paraId="436960F9">
      <w:pPr>
        <w:pStyle w:val="45"/>
        <w:rPr>
          <w:rFonts w:hint="eastAsia" w:ascii="宋体" w:hAnsi="宋体" w:eastAsia="宋体" w:cs="宋体"/>
          <w:highlight w:val="none"/>
          <w:lang w:eastAsia="zh-CN"/>
        </w:rPr>
      </w:pPr>
      <w:r>
        <w:rPr>
          <w:rFonts w:hint="eastAsia" w:ascii="宋体" w:hAnsi="宋体" w:eastAsia="宋体" w:cs="宋体"/>
          <w:highlight w:val="none"/>
        </w:rPr>
        <w:t>通讯地址：</w:t>
      </w:r>
      <w:r>
        <w:rPr>
          <w:rFonts w:hint="eastAsia" w:ascii="宋体" w:hAnsi="宋体" w:eastAsia="宋体" w:cs="宋体"/>
          <w:sz w:val="24"/>
          <w:szCs w:val="24"/>
          <w:highlight w:val="none"/>
          <w:lang w:eastAsia="zh-CN"/>
        </w:rPr>
        <w:t>江西省南昌市东湖区二七北路185号东晖育才苑6栋1602室</w:t>
      </w:r>
    </w:p>
    <w:p w14:paraId="6738A6D3">
      <w:pPr>
        <w:pStyle w:val="45"/>
        <w:rPr>
          <w:rFonts w:hint="eastAsia" w:ascii="宋体" w:hAnsi="宋体" w:eastAsia="宋体" w:cs="宋体"/>
          <w:highlight w:val="none"/>
          <w:lang w:val="en-US" w:eastAsia="zh-CN"/>
        </w:rPr>
      </w:pPr>
      <w:r>
        <w:rPr>
          <w:rFonts w:hint="eastAsia" w:ascii="宋体" w:hAnsi="宋体" w:eastAsia="宋体" w:cs="宋体"/>
          <w:highlight w:val="none"/>
        </w:rPr>
        <w:t>邮编：</w:t>
      </w:r>
      <w:bookmarkEnd w:id="49"/>
      <w:bookmarkStart w:id="50" w:name="_Toc445715221"/>
      <w:bookmarkStart w:id="51" w:name="_Toc286758341"/>
      <w:bookmarkStart w:id="52" w:name="_Toc376848255"/>
      <w:r>
        <w:rPr>
          <w:rFonts w:hint="eastAsia" w:ascii="宋体" w:hAnsi="宋体" w:eastAsia="宋体" w:cs="宋体"/>
          <w:highlight w:val="none"/>
          <w:lang w:val="en-US" w:eastAsia="zh-CN"/>
        </w:rPr>
        <w:t>330000</w:t>
      </w:r>
    </w:p>
    <w:p w14:paraId="0FA75C94">
      <w:pPr>
        <w:pStyle w:val="42"/>
        <w:spacing w:before="240"/>
        <w:rPr>
          <w:rFonts w:hint="eastAsia" w:ascii="宋体" w:hAnsi="宋体" w:eastAsia="宋体" w:cs="宋体"/>
          <w:highlight w:val="none"/>
        </w:rPr>
      </w:pPr>
      <w:bookmarkStart w:id="53" w:name="_Toc19713"/>
      <w:r>
        <w:rPr>
          <w:rFonts w:hint="eastAsia" w:ascii="宋体" w:hAnsi="宋体" w:eastAsia="宋体" w:cs="宋体"/>
          <w:highlight w:val="none"/>
        </w:rPr>
        <w:t>十一、采购代理服务费</w:t>
      </w:r>
      <w:bookmarkEnd w:id="50"/>
      <w:bookmarkEnd w:id="53"/>
    </w:p>
    <w:p w14:paraId="21780A86">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37. 采购代理服务费</w:t>
      </w:r>
    </w:p>
    <w:p w14:paraId="162AA3C0">
      <w:pPr>
        <w:pStyle w:val="45"/>
        <w:rPr>
          <w:rFonts w:hint="eastAsia" w:ascii="宋体" w:hAnsi="宋体" w:eastAsia="宋体" w:cs="宋体"/>
          <w:highlight w:val="none"/>
        </w:rPr>
      </w:pPr>
      <w:r>
        <w:rPr>
          <w:rFonts w:hint="eastAsia" w:ascii="宋体" w:hAnsi="宋体" w:eastAsia="宋体" w:cs="宋体"/>
          <w:highlight w:val="none"/>
        </w:rPr>
        <w:t>37.1成交供应商在领取成交通知书时须按“供应商须知前附表”规定的收费标准</w:t>
      </w:r>
      <w:r>
        <w:rPr>
          <w:rFonts w:hint="eastAsia" w:ascii="宋体" w:hAnsi="宋体" w:eastAsia="宋体" w:cs="宋体"/>
          <w:b/>
          <w:highlight w:val="none"/>
        </w:rPr>
        <w:t>，</w:t>
      </w:r>
      <w:r>
        <w:rPr>
          <w:rFonts w:hint="eastAsia" w:ascii="宋体" w:hAnsi="宋体" w:eastAsia="宋体" w:cs="宋体"/>
          <w:highlight w:val="none"/>
        </w:rPr>
        <w:t>向采购代理机构缴纳采购代理服务费。</w:t>
      </w:r>
    </w:p>
    <w:p w14:paraId="1BBC8F0E">
      <w:pPr>
        <w:pStyle w:val="45"/>
        <w:rPr>
          <w:rFonts w:hint="eastAsia" w:ascii="宋体" w:hAnsi="宋体" w:eastAsia="宋体" w:cs="宋体"/>
          <w:highlight w:val="none"/>
        </w:rPr>
      </w:pPr>
      <w:r>
        <w:rPr>
          <w:rFonts w:hint="eastAsia" w:ascii="宋体" w:hAnsi="宋体" w:eastAsia="宋体" w:cs="宋体"/>
          <w:highlight w:val="none"/>
        </w:rPr>
        <w:t>37.2 采购代理服务费采用银行转账、支票、汇票、本票等非现金形式交纳。</w:t>
      </w:r>
      <w:bookmarkEnd w:id="51"/>
      <w:bookmarkEnd w:id="52"/>
      <w:bookmarkStart w:id="54" w:name="_Toc376848257"/>
      <w:bookmarkStart w:id="55" w:name="_Toc245611283"/>
    </w:p>
    <w:p w14:paraId="016E35AA">
      <w:pPr>
        <w:pStyle w:val="42"/>
        <w:spacing w:before="240"/>
        <w:rPr>
          <w:rFonts w:hint="eastAsia" w:ascii="宋体" w:hAnsi="宋体" w:eastAsia="宋体" w:cs="宋体"/>
          <w:highlight w:val="none"/>
        </w:rPr>
      </w:pPr>
      <w:bookmarkStart w:id="56" w:name="_Toc13530"/>
      <w:r>
        <w:rPr>
          <w:rFonts w:hint="eastAsia" w:ascii="宋体" w:hAnsi="宋体" w:eastAsia="宋体" w:cs="宋体"/>
          <w:highlight w:val="none"/>
        </w:rPr>
        <w:t>十二、附则</w:t>
      </w:r>
      <w:bookmarkEnd w:id="54"/>
      <w:bookmarkEnd w:id="56"/>
    </w:p>
    <w:p w14:paraId="7EFD159A">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38. 解释权</w:t>
      </w:r>
      <w:bookmarkEnd w:id="55"/>
    </w:p>
    <w:p w14:paraId="470F06BD">
      <w:pPr>
        <w:pStyle w:val="45"/>
        <w:rPr>
          <w:rFonts w:hint="eastAsia" w:ascii="宋体" w:hAnsi="宋体" w:eastAsia="宋体" w:cs="宋体"/>
          <w:highlight w:val="none"/>
        </w:rPr>
      </w:pPr>
      <w:r>
        <w:rPr>
          <w:rFonts w:hint="eastAsia" w:ascii="宋体" w:hAnsi="宋体" w:eastAsia="宋体" w:cs="宋体"/>
          <w:highlight w:val="none"/>
        </w:rPr>
        <w:t>本谈判文件是根据国家有关法律、法规有关规定编制，解释权属</w:t>
      </w:r>
      <w:r>
        <w:rPr>
          <w:rFonts w:hint="eastAsia" w:ascii="宋体" w:hAnsi="宋体" w:eastAsia="宋体" w:cs="宋体"/>
          <w:highlight w:val="none"/>
          <w:lang w:eastAsia="zh-CN"/>
        </w:rPr>
        <w:t>江西北涛建设工程咨询有限公司</w:t>
      </w:r>
      <w:r>
        <w:rPr>
          <w:rFonts w:hint="eastAsia" w:ascii="宋体" w:hAnsi="宋体" w:eastAsia="宋体" w:cs="宋体"/>
          <w:highlight w:val="none"/>
        </w:rPr>
        <w:t>。</w:t>
      </w:r>
    </w:p>
    <w:p w14:paraId="0E204CA6">
      <w:pPr>
        <w:pStyle w:val="40"/>
        <w:rPr>
          <w:rFonts w:hint="eastAsia" w:ascii="宋体" w:hAnsi="宋体" w:eastAsia="宋体" w:cs="宋体"/>
          <w:szCs w:val="32"/>
          <w:highlight w:val="none"/>
        </w:rPr>
      </w:pPr>
      <w:r>
        <w:rPr>
          <w:rFonts w:hint="eastAsia" w:ascii="宋体" w:hAnsi="宋体" w:eastAsia="宋体" w:cs="宋体"/>
          <w:highlight w:val="none"/>
        </w:rPr>
        <w:br w:type="page"/>
      </w:r>
      <w:bookmarkStart w:id="57" w:name="_Toc505076476"/>
      <w:bookmarkStart w:id="58" w:name="_Toc27378"/>
      <w:bookmarkStart w:id="59" w:name="_Toc387418052"/>
      <w:bookmarkStart w:id="60" w:name="_Toc225565935"/>
      <w:r>
        <w:rPr>
          <w:rFonts w:hint="eastAsia" w:ascii="宋体" w:hAnsi="宋体" w:eastAsia="宋体" w:cs="宋体"/>
          <w:highlight w:val="none"/>
        </w:rPr>
        <w:t>第三章　</w:t>
      </w:r>
      <w:r>
        <w:rPr>
          <w:rFonts w:hint="eastAsia" w:ascii="宋体" w:hAnsi="宋体" w:eastAsia="宋体" w:cs="宋体"/>
          <w:szCs w:val="32"/>
          <w:highlight w:val="none"/>
        </w:rPr>
        <w:t>拟签订的合同文本</w:t>
      </w:r>
      <w:bookmarkEnd w:id="57"/>
      <w:bookmarkEnd w:id="58"/>
    </w:p>
    <w:p w14:paraId="2B5E4864">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甲方（采购单位）：________</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乙方（供货单位）：________</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签订时间：________年____月____日</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签订地点：</w:t>
      </w:r>
      <w:r>
        <w:rPr>
          <w:rFonts w:hint="eastAsia" w:ascii="宋体" w:hAnsi="宋体" w:eastAsia="宋体" w:cs="宋体"/>
          <w:kern w:val="0"/>
          <w:sz w:val="24"/>
          <w:szCs w:val="24"/>
          <w:highlight w:val="none"/>
        </w:rPr>
        <w:br w:type="textWrapping"/>
      </w:r>
    </w:p>
    <w:p w14:paraId="5B09AF6F">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中华人民共和国民法典》及________年____月____日（采购代理机构名称）关于________项目的成交通知书和谈判文件（项目编号：________）的要求，经双方协商一致，签订本合同。详细价格、技术说明及其他有关合同货物的特定信息由合同附件予以说明，所有附件及本项目的谈判文件、响应文件、会议纪要、协议等均为本合同不可分割之一部分。</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第一条　合同货物</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乙方根据甲方要求提供以下货物：　　</w:t>
      </w:r>
      <w:r>
        <w:rPr>
          <w:rFonts w:hint="eastAsia" w:ascii="宋体" w:hAnsi="宋体" w:eastAsia="宋体" w:cs="宋体"/>
          <w:kern w:val="0"/>
          <w:sz w:val="24"/>
          <w:szCs w:val="24"/>
          <w:highlight w:val="none"/>
        </w:rPr>
        <mc:AlternateContent>
          <mc:Choice Requires="wps">
            <w:drawing>
              <wp:inline distT="0" distB="0" distL="0" distR="0">
                <wp:extent cx="318135" cy="31813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8135" cy="318135"/>
                        </a:xfrm>
                        <a:prstGeom prst="rect">
                          <a:avLst/>
                        </a:prstGeom>
                        <a:noFill/>
                        <a:ln>
                          <a:noFill/>
                        </a:ln>
                      </wps:spPr>
                      <wps:txbx>
                        <w:txbxContent>
                          <w:p w14:paraId="5D403D93">
                            <w:pPr>
                              <w:jc w:val="center"/>
                            </w:pPr>
                          </w:p>
                        </w:txbxContent>
                      </wps:txbx>
                      <wps:bodyPr rot="0" vert="horz" wrap="square" lIns="91440" tIns="45720" rIns="91440" bIns="45720" anchor="t" anchorCtr="0" upright="1">
                        <a:noAutofit/>
                      </wps:bodyPr>
                    </wps:wsp>
                  </a:graphicData>
                </a:graphic>
              </wp:inline>
            </w:drawing>
          </mc:Choice>
          <mc:Fallback>
            <w:pict>
              <v:rect id="AutoShape 1" o:spid="_x0000_s1026" o:spt="1" style="height:25.05pt;width:25.05pt;" filled="f" stroked="f" coordsize="21600,21600" o:gfxdata="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NRodMAAAADAQAADwAAAAAAAAABACAAAAAiAAAAZHJzL2Rvd25yZXYu&#10;eG1sUEsBAhQAFAAAAAgAh07iQOmvo7UAAgAAHQQAAA4AAAAAAAAAAQAgAAAAIgEAAGRycy9lMm9E&#10;b2MueG1sUEsFBgAAAAAGAAYAWQEAAJQFAAAAAA==&#10;">
                <v:fill on="f" focussize="0,0"/>
                <v:stroke on="f"/>
                <v:imagedata o:title=""/>
                <o:lock v:ext="edit" aspectratio="t"/>
                <v:textbox>
                  <w:txbxContent>
                    <w:p w14:paraId="5D403D93">
                      <w:pPr>
                        <w:jc w:val="center"/>
                      </w:pPr>
                    </w:p>
                  </w:txbxContent>
                </v:textbox>
                <w10:wrap type="none"/>
                <w10:anchorlock/>
              </v:rect>
            </w:pict>
          </mc:Fallback>
        </mc:AlternateConten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38"/>
        <w:gridCol w:w="1448"/>
        <w:gridCol w:w="1125"/>
        <w:gridCol w:w="1448"/>
        <w:gridCol w:w="805"/>
        <w:gridCol w:w="805"/>
        <w:gridCol w:w="913"/>
        <w:gridCol w:w="1340"/>
      </w:tblGrid>
      <w:tr w14:paraId="3279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Pr>
          <w:p w14:paraId="7536E456">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09" w:type="pct"/>
          </w:tcPr>
          <w:p w14:paraId="56982D51">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714" w:type="pct"/>
          </w:tcPr>
          <w:p w14:paraId="315537BC">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555" w:type="pct"/>
          </w:tcPr>
          <w:p w14:paraId="7B4C20CD">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原产国</w:t>
            </w:r>
          </w:p>
        </w:tc>
        <w:tc>
          <w:tcPr>
            <w:tcW w:w="714" w:type="pct"/>
          </w:tcPr>
          <w:p w14:paraId="70EB559A">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生产厂商</w:t>
            </w:r>
          </w:p>
        </w:tc>
        <w:tc>
          <w:tcPr>
            <w:tcW w:w="397" w:type="pct"/>
          </w:tcPr>
          <w:p w14:paraId="398D1AAB">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397" w:type="pct"/>
          </w:tcPr>
          <w:p w14:paraId="3562DD69">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450" w:type="pct"/>
          </w:tcPr>
          <w:p w14:paraId="3B0DCD0D">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tc>
        <w:tc>
          <w:tcPr>
            <w:tcW w:w="661" w:type="pct"/>
          </w:tcPr>
          <w:p w14:paraId="53ABF6E8">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单项合计</w:t>
            </w:r>
          </w:p>
        </w:tc>
      </w:tr>
      <w:tr w14:paraId="04C8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Pr>
          <w:p w14:paraId="0BE51F30">
            <w:pPr>
              <w:widowControl/>
              <w:spacing w:line="360" w:lineRule="auto"/>
              <w:ind w:right="480"/>
              <w:jc w:val="center"/>
              <w:rPr>
                <w:rFonts w:hint="eastAsia" w:ascii="宋体" w:hAnsi="宋体" w:eastAsia="宋体" w:cs="宋体"/>
                <w:kern w:val="0"/>
                <w:sz w:val="24"/>
                <w:szCs w:val="24"/>
                <w:highlight w:val="none"/>
              </w:rPr>
            </w:pPr>
          </w:p>
        </w:tc>
        <w:tc>
          <w:tcPr>
            <w:tcW w:w="709" w:type="pct"/>
          </w:tcPr>
          <w:p w14:paraId="723D2DE2">
            <w:pPr>
              <w:widowControl/>
              <w:spacing w:line="360" w:lineRule="auto"/>
              <w:ind w:right="480"/>
              <w:jc w:val="center"/>
              <w:rPr>
                <w:rFonts w:hint="eastAsia" w:ascii="宋体" w:hAnsi="宋体" w:eastAsia="宋体" w:cs="宋体"/>
                <w:kern w:val="0"/>
                <w:sz w:val="24"/>
                <w:szCs w:val="24"/>
                <w:highlight w:val="none"/>
              </w:rPr>
            </w:pPr>
          </w:p>
        </w:tc>
        <w:tc>
          <w:tcPr>
            <w:tcW w:w="714" w:type="pct"/>
          </w:tcPr>
          <w:p w14:paraId="7F228179">
            <w:pPr>
              <w:widowControl/>
              <w:spacing w:line="360" w:lineRule="auto"/>
              <w:ind w:right="480"/>
              <w:jc w:val="center"/>
              <w:rPr>
                <w:rFonts w:hint="eastAsia" w:ascii="宋体" w:hAnsi="宋体" w:eastAsia="宋体" w:cs="宋体"/>
                <w:kern w:val="0"/>
                <w:sz w:val="24"/>
                <w:szCs w:val="24"/>
                <w:highlight w:val="none"/>
              </w:rPr>
            </w:pPr>
          </w:p>
        </w:tc>
        <w:tc>
          <w:tcPr>
            <w:tcW w:w="555" w:type="pct"/>
          </w:tcPr>
          <w:p w14:paraId="125CB8E7">
            <w:pPr>
              <w:widowControl/>
              <w:spacing w:line="360" w:lineRule="auto"/>
              <w:ind w:right="480"/>
              <w:jc w:val="center"/>
              <w:rPr>
                <w:rFonts w:hint="eastAsia" w:ascii="宋体" w:hAnsi="宋体" w:eastAsia="宋体" w:cs="宋体"/>
                <w:kern w:val="0"/>
                <w:sz w:val="24"/>
                <w:szCs w:val="24"/>
                <w:highlight w:val="none"/>
              </w:rPr>
            </w:pPr>
          </w:p>
        </w:tc>
        <w:tc>
          <w:tcPr>
            <w:tcW w:w="714" w:type="pct"/>
          </w:tcPr>
          <w:p w14:paraId="75D00945">
            <w:pPr>
              <w:widowControl/>
              <w:spacing w:line="360" w:lineRule="auto"/>
              <w:ind w:right="480"/>
              <w:jc w:val="center"/>
              <w:rPr>
                <w:rFonts w:hint="eastAsia" w:ascii="宋体" w:hAnsi="宋体" w:eastAsia="宋体" w:cs="宋体"/>
                <w:kern w:val="0"/>
                <w:sz w:val="24"/>
                <w:szCs w:val="24"/>
                <w:highlight w:val="none"/>
              </w:rPr>
            </w:pPr>
          </w:p>
        </w:tc>
        <w:tc>
          <w:tcPr>
            <w:tcW w:w="397" w:type="pct"/>
          </w:tcPr>
          <w:p w14:paraId="2E7EB4A0">
            <w:pPr>
              <w:widowControl/>
              <w:spacing w:line="360" w:lineRule="auto"/>
              <w:ind w:right="480"/>
              <w:jc w:val="center"/>
              <w:rPr>
                <w:rFonts w:hint="eastAsia" w:ascii="宋体" w:hAnsi="宋体" w:eastAsia="宋体" w:cs="宋体"/>
                <w:kern w:val="0"/>
                <w:sz w:val="24"/>
                <w:szCs w:val="24"/>
                <w:highlight w:val="none"/>
              </w:rPr>
            </w:pPr>
          </w:p>
        </w:tc>
        <w:tc>
          <w:tcPr>
            <w:tcW w:w="397" w:type="pct"/>
          </w:tcPr>
          <w:p w14:paraId="578501A9">
            <w:pPr>
              <w:widowControl/>
              <w:spacing w:line="360" w:lineRule="auto"/>
              <w:ind w:right="480"/>
              <w:jc w:val="center"/>
              <w:rPr>
                <w:rFonts w:hint="eastAsia" w:ascii="宋体" w:hAnsi="宋体" w:eastAsia="宋体" w:cs="宋体"/>
                <w:kern w:val="0"/>
                <w:sz w:val="24"/>
                <w:szCs w:val="24"/>
                <w:highlight w:val="none"/>
              </w:rPr>
            </w:pPr>
          </w:p>
        </w:tc>
        <w:tc>
          <w:tcPr>
            <w:tcW w:w="450" w:type="pct"/>
          </w:tcPr>
          <w:p w14:paraId="5C0F67CC">
            <w:pPr>
              <w:widowControl/>
              <w:spacing w:line="360" w:lineRule="auto"/>
              <w:ind w:right="480"/>
              <w:jc w:val="center"/>
              <w:rPr>
                <w:rFonts w:hint="eastAsia" w:ascii="宋体" w:hAnsi="宋体" w:eastAsia="宋体" w:cs="宋体"/>
                <w:kern w:val="0"/>
                <w:sz w:val="24"/>
                <w:szCs w:val="24"/>
                <w:highlight w:val="none"/>
              </w:rPr>
            </w:pPr>
          </w:p>
        </w:tc>
        <w:tc>
          <w:tcPr>
            <w:tcW w:w="661" w:type="pct"/>
          </w:tcPr>
          <w:p w14:paraId="59EF73D0">
            <w:pPr>
              <w:widowControl/>
              <w:spacing w:line="360" w:lineRule="auto"/>
              <w:ind w:right="480"/>
              <w:jc w:val="center"/>
              <w:rPr>
                <w:rFonts w:hint="eastAsia" w:ascii="宋体" w:hAnsi="宋体" w:eastAsia="宋体" w:cs="宋体"/>
                <w:kern w:val="0"/>
                <w:sz w:val="24"/>
                <w:szCs w:val="24"/>
                <w:highlight w:val="none"/>
              </w:rPr>
            </w:pPr>
          </w:p>
        </w:tc>
      </w:tr>
    </w:tbl>
    <w:p w14:paraId="3AF7182A">
      <w:pPr>
        <w:spacing w:line="360" w:lineRule="auto"/>
        <w:ind w:firstLine="63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第二条　合同总价</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总价为人民币（大写）：________ ，即RMB________。该合同总价是货物设计、制造、包装、仓储、运输、安装及验收合格之前及保修期内备品备件发生的所有含税费用。本合同执行期间合同总价不变。</w:t>
      </w:r>
    </w:p>
    <w:p w14:paraId="58C1C980">
      <w:pPr>
        <w:spacing w:line="360" w:lineRule="auto"/>
        <w:ind w:left="105" w:leftChars="50" w:firstLine="194" w:firstLineChars="81"/>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第三条　专利权</w:t>
      </w:r>
    </w:p>
    <w:p w14:paraId="03A18B91">
      <w:pPr>
        <w:spacing w:line="360" w:lineRule="auto"/>
        <w:ind w:left="105" w:leftChars="50" w:firstLine="194" w:firstLineChars="81"/>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乙方应保护甲方在使用该货物或其任何一部分时不受第三方提出侵犯专利权、商标权、著作权或其它知识产权起诉的指控。如果任何第三方提出侵权指控，乙方须与第三方交涉并承担可能发生的一切法律责任和费用。</w:t>
      </w:r>
    </w:p>
    <w:p w14:paraId="3A027C8F">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第四条　包装和装运标志</w:t>
      </w:r>
    </w:p>
    <w:p w14:paraId="1E189BD3">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乙方承担。</w:t>
      </w:r>
    </w:p>
    <w:p w14:paraId="1219D8FD">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2.每件包装箱内应附一份详细装箱单和质量合格证。</w:t>
      </w:r>
    </w:p>
    <w:p w14:paraId="3DCAEF60">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3.除合同另有规定外，装运标志均应采用国家或专业标准进行标志。由于标志不妥所造成货物损坏和损失的后果均由乙方承担。</w:t>
      </w:r>
    </w:p>
    <w:p w14:paraId="0AC9218D">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第五条　质量</w:t>
      </w:r>
    </w:p>
    <w:p w14:paraId="4973FA0C">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1.乙方须提供全新的、符合国家有关质量标准和规范、环保要求的货物，其质量、规格及技术特征符合合同附件的要求。</w:t>
      </w:r>
    </w:p>
    <w:p w14:paraId="1F4A563D">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2.每台货物上均应钉有名牌（内容包括：制造商、货物名称、型号规格、出厂日期等）并附有产品质量检验合格标志。</w:t>
      </w:r>
    </w:p>
    <w:p w14:paraId="44A06944">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3.货物制造质量出现问题，乙方应负责三包（包修、包换、包退），费用由乙方负责。</w:t>
      </w:r>
    </w:p>
    <w:p w14:paraId="0BBF92DB">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4.货到现场后由于甲方保管不当造成的质量问题，乙方亦应负责修理，但费用由甲方负担。</w:t>
      </w:r>
    </w:p>
    <w:p w14:paraId="481C0A7D">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第六条　交货及验收</w:t>
      </w:r>
    </w:p>
    <w:p w14:paraId="0C321881">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在合同签订后________日内，乙方免费送货至甲方地点：________，由甲方与乙方一起进行到货验收及由乙方免费完成货物和系统的安装调试工作，然后由双方共同进行质量验收，如质量验收合格，双方签署质量验收表。</w:t>
      </w:r>
    </w:p>
    <w:p w14:paraId="13C5BA46">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2.货物的到货验收包括：型号、规格、数量、外观质量及货物包装完整无损。</w:t>
      </w:r>
    </w:p>
    <w:p w14:paraId="40ADD9DA">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3.货物和系统安装调试完成后10天之内，甲方无故不进行验收工作而使用货物的，视同已安装调试完成并验收合格。</w:t>
      </w:r>
    </w:p>
    <w:p w14:paraId="2D5F8DEB">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4.货物和系统调试验收的标准：按行业通行标准、厂方出厂标准和乙方响应文件的承诺（详见合同附件载明的标准，并不低于国家相关标准）。</w:t>
      </w:r>
    </w:p>
    <w:p w14:paraId="45B5DF07">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5.国内产品或合资厂的产品必须具备出厂合格证和原厂保修卡。</w:t>
      </w:r>
    </w:p>
    <w:p w14:paraId="3C761E15">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14:paraId="53D73B20">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第七条　付款方式</w:t>
      </w:r>
    </w:p>
    <w:p w14:paraId="4D5D603B">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按工程进度支付完成工程量的80%工程款，工程验收合格办理完结算支付至合同价款的97%，剩余3%做为质量保证金。</w:t>
      </w:r>
    </w:p>
    <w:p w14:paraId="4A463DB2">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本合同供应商指定的收款账户：</w:t>
      </w:r>
    </w:p>
    <w:p w14:paraId="13AA3472">
      <w:pPr>
        <w:spacing w:line="360" w:lineRule="auto"/>
        <w:ind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户名：_____________________</w:t>
      </w:r>
    </w:p>
    <w:p w14:paraId="03037E89">
      <w:pPr>
        <w:spacing w:line="360" w:lineRule="auto"/>
        <w:ind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开户行：___________________</w:t>
      </w:r>
    </w:p>
    <w:p w14:paraId="02118CF3">
      <w:pPr>
        <w:pStyle w:val="3"/>
        <w:spacing w:after="0" w:line="360" w:lineRule="auto"/>
        <w:ind w:firstLine="720" w:firstLineChars="3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账号：_____________________</w:t>
      </w:r>
    </w:p>
    <w:p w14:paraId="303A213D">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第八条　售后服务</w:t>
      </w:r>
    </w:p>
    <w:p w14:paraId="496175D9">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14:paraId="2F772532">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2.质量保证期为：         ；质保期自甲方在货物质量验收单上签字之日起计算，保修费用计入总价。</w:t>
      </w:r>
    </w:p>
    <w:p w14:paraId="14DE3949">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3.质量保证期内，乙方负责对其提供的货物整机进行维修和系统维护，不再收取任何费用，但不可抗力（如火灾、雷击等）造成的故障除外。</w:t>
      </w:r>
    </w:p>
    <w:p w14:paraId="006847D1">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4.货物故障报修的响应时间为：工作期间（星期一至星期五8： 00-18： 00）为________小时；非工作期间为________小时；售后服务电话：________。</w:t>
      </w:r>
    </w:p>
    <w:p w14:paraId="2F712A80">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5.若货物故障在检修8工作小时后仍无法排除，乙方应在48小时内免费提供不低于故障货物规格型号档次的备用货物供甲方使用，直至故障货物修复。</w:t>
      </w:r>
    </w:p>
    <w:p w14:paraId="47BB5EB1">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6.所有货物保修服务方式均为乙方上门保修，即由乙方派员到货物使用现场维修，由此产生的一切费用均由乙方承担。</w:t>
      </w:r>
    </w:p>
    <w:p w14:paraId="687888F7">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7.乙方须每隔半年上门对甲方进行回访，（需由用户盖章确认）。</w:t>
      </w:r>
    </w:p>
    <w:p w14:paraId="13EB3A61">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8.保修期后的货物维护由双方协商再定。</w:t>
      </w:r>
    </w:p>
    <w:p w14:paraId="03C07AFF">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第九条　违约责任</w:t>
      </w:r>
    </w:p>
    <w:p w14:paraId="657A415B">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1.甲方无正当理由拒收货物、拒付货款的，由甲方向乙方偿付合同总价的5‰的违约金。</w:t>
      </w:r>
    </w:p>
    <w:p w14:paraId="2472F27E">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2.甲方应在合同规定时间内向乙方支付货款，每逾期1天甲方向乙方偿付欠款总额的2‰滞纳金，累计滞纳金总额不超过欠款总额的5%。</w:t>
      </w:r>
    </w:p>
    <w:p w14:paraId="6F7A490B">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3.乙方不能交付货物，则由乙方向甲方支付合同总价的10%的违约金。</w:t>
      </w:r>
    </w:p>
    <w:p w14:paraId="0644443D">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4.乙方逾期交付货物的，每逾期1天，乙方向甲方偿付逾期交货部分货款总额的1%的滞纳金，累计滞纳金不超过逾期交货部分货款总额的10%，逾期交货超过10天，甲方有权终止合同，并按第九条第3款处理。</w:t>
      </w:r>
    </w:p>
    <w:p w14:paraId="64AE7BD0">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5.乙方所交的货物品种、型号、规格不符合合同规定的，甲方有权拒收设备。乙方向甲方支付货款总额的10%的违约金。</w:t>
      </w:r>
    </w:p>
    <w:p w14:paraId="33A1A059">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6.如经乙方两次维修，货物仍不能达到合同约定质量标准，甲方有权退货，乙方退回全部货款，并按第九条第3款处理，同时，乙方还须赔偿甲方因此遭受的损失。</w:t>
      </w:r>
    </w:p>
    <w:p w14:paraId="6B2E83A8">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7.乙方所供货物必须权属清楚，不得侵害他人的知识产权，否则构成对甲方违约，违约金按第九条第3~4款执行。</w:t>
      </w:r>
    </w:p>
    <w:p w14:paraId="3DFF1F25">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第十条　争议及仲裁</w:t>
      </w:r>
    </w:p>
    <w:p w14:paraId="27E32C53">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1.因货物的质量问题发生争议，由质量监督部门或其指定的质量鉴定单位进行质量鉴定。货物符合标准的，鉴定费由甲方承担；货物不符合质量标准的，鉴定费由乙方承担。</w:t>
      </w:r>
    </w:p>
    <w:p w14:paraId="03935AFD">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2.因本合同引起的争议，甲、乙双方应首先通过友好协商解决，如果协商或调解不能解决争议，则</w:t>
      </w:r>
      <w:r>
        <w:rPr>
          <w:rFonts w:hint="eastAsia" w:ascii="宋体" w:hAnsi="宋体" w:eastAsia="宋体" w:cs="宋体"/>
          <w:sz w:val="24"/>
          <w:szCs w:val="24"/>
          <w:highlight w:val="none"/>
        </w:rPr>
        <w:t>提请仲裁委员会按照其仲裁规则进行仲裁。</w:t>
      </w:r>
    </w:p>
    <w:p w14:paraId="18C30F06">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第十一条　其他</w:t>
      </w:r>
    </w:p>
    <w:p w14:paraId="349EE945">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1.本合同正本4份，具有同等法律效力，甲、乙双方各执2份。合同自签字之日起即时生效。</w:t>
      </w:r>
    </w:p>
    <w:p w14:paraId="4AF18CAE">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2.本合同未尽事宜，由双方协商处理。</w:t>
      </w:r>
    </w:p>
    <w:p w14:paraId="5A9A678C">
      <w:pPr>
        <w:spacing w:line="360" w:lineRule="auto"/>
        <w:ind w:firstLine="420"/>
        <w:rPr>
          <w:rFonts w:hint="eastAsia" w:ascii="宋体" w:hAnsi="宋体" w:eastAsia="宋体" w:cs="宋体"/>
          <w:b/>
          <w:sz w:val="24"/>
          <w:szCs w:val="24"/>
          <w:highlight w:val="none"/>
        </w:rPr>
      </w:pP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甲方（盖章）：________　　　   乙方（盖章）：________</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签约代表（签字）：________　　签约代表（签字）：________</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地址：________　　　　　　　  地址：________</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电话：________　　　　　　　  电话：________</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传真：________　　　　　　　  传真：________</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________年____月____日　　 　________年____月____日</w:t>
      </w:r>
    </w:p>
    <w:p w14:paraId="3E28251E">
      <w:pPr>
        <w:pStyle w:val="40"/>
        <w:rPr>
          <w:rFonts w:hint="eastAsia" w:ascii="宋体" w:hAnsi="宋体" w:eastAsia="宋体" w:cs="宋体"/>
          <w:szCs w:val="32"/>
          <w:highlight w:val="none"/>
        </w:rPr>
      </w:pPr>
      <w:r>
        <w:rPr>
          <w:rFonts w:hint="eastAsia" w:ascii="宋体" w:hAnsi="宋体" w:eastAsia="宋体" w:cs="宋体"/>
          <w:kern w:val="0"/>
          <w:sz w:val="24"/>
          <w:szCs w:val="24"/>
          <w:highlight w:val="none"/>
        </w:rPr>
        <w:br w:type="page"/>
      </w:r>
      <w:bookmarkStart w:id="61" w:name="_Toc12719"/>
      <w:r>
        <w:rPr>
          <w:rFonts w:hint="eastAsia" w:ascii="宋体" w:hAnsi="宋体" w:eastAsia="宋体" w:cs="宋体"/>
          <w:highlight w:val="none"/>
        </w:rPr>
        <w:t>第四章  响应文件格式</w:t>
      </w:r>
      <w:bookmarkEnd w:id="59"/>
      <w:bookmarkEnd w:id="60"/>
      <w:bookmarkEnd w:id="61"/>
    </w:p>
    <w:p w14:paraId="185BF3C1">
      <w:pPr>
        <w:pStyle w:val="36"/>
        <w:rPr>
          <w:rFonts w:hint="eastAsia" w:ascii="宋体" w:hAnsi="宋体" w:eastAsia="宋体" w:cs="宋体"/>
          <w:highlight w:val="none"/>
        </w:rPr>
      </w:pPr>
    </w:p>
    <w:p w14:paraId="6DEDB3D5">
      <w:pPr>
        <w:pStyle w:val="36"/>
        <w:rPr>
          <w:rFonts w:hint="eastAsia" w:ascii="宋体" w:hAnsi="宋体" w:eastAsia="宋体" w:cs="宋体"/>
          <w:highlight w:val="none"/>
        </w:rPr>
      </w:pPr>
      <w:r>
        <w:rPr>
          <w:rFonts w:hint="eastAsia" w:ascii="宋体" w:hAnsi="宋体" w:eastAsia="宋体" w:cs="宋体"/>
          <w:highlight w:val="none"/>
        </w:rPr>
        <w:t>谈判响应文件</w:t>
      </w:r>
    </w:p>
    <w:p w14:paraId="043A2F66">
      <w:pPr>
        <w:rPr>
          <w:rFonts w:hint="eastAsia" w:ascii="宋体" w:hAnsi="宋体" w:eastAsia="宋体" w:cs="宋体"/>
          <w:sz w:val="24"/>
          <w:highlight w:val="none"/>
        </w:rPr>
      </w:pPr>
    </w:p>
    <w:p w14:paraId="515ED278">
      <w:pPr>
        <w:rPr>
          <w:rFonts w:hint="eastAsia" w:ascii="宋体" w:hAnsi="宋体" w:eastAsia="宋体" w:cs="宋体"/>
          <w:sz w:val="24"/>
          <w:highlight w:val="none"/>
        </w:rPr>
      </w:pPr>
    </w:p>
    <w:p w14:paraId="06ACC53D">
      <w:pPr>
        <w:rPr>
          <w:rFonts w:hint="eastAsia" w:ascii="宋体" w:hAnsi="宋体" w:eastAsia="宋体" w:cs="宋体"/>
          <w:sz w:val="24"/>
          <w:highlight w:val="none"/>
        </w:rPr>
      </w:pPr>
    </w:p>
    <w:p w14:paraId="1781173B">
      <w:pPr>
        <w:rPr>
          <w:rFonts w:hint="eastAsia" w:ascii="宋体" w:hAnsi="宋体" w:eastAsia="宋体" w:cs="宋体"/>
          <w:sz w:val="24"/>
          <w:highlight w:val="none"/>
        </w:rPr>
      </w:pPr>
    </w:p>
    <w:p w14:paraId="3F797019">
      <w:pPr>
        <w:rPr>
          <w:rFonts w:hint="eastAsia" w:ascii="宋体" w:hAnsi="宋体" w:eastAsia="宋体" w:cs="宋体"/>
          <w:sz w:val="24"/>
          <w:highlight w:val="none"/>
        </w:rPr>
      </w:pPr>
    </w:p>
    <w:p w14:paraId="3A29E1F7">
      <w:pPr>
        <w:rPr>
          <w:rFonts w:hint="eastAsia" w:ascii="宋体" w:hAnsi="宋体" w:eastAsia="宋体" w:cs="宋体"/>
          <w:sz w:val="24"/>
          <w:highlight w:val="none"/>
        </w:rPr>
      </w:pPr>
    </w:p>
    <w:p w14:paraId="0D7CB2B9">
      <w:pPr>
        <w:rPr>
          <w:rFonts w:hint="eastAsia" w:ascii="宋体" w:hAnsi="宋体" w:eastAsia="宋体" w:cs="宋体"/>
          <w:sz w:val="24"/>
          <w:highlight w:val="none"/>
        </w:rPr>
      </w:pPr>
    </w:p>
    <w:p w14:paraId="0875873E">
      <w:pPr>
        <w:rPr>
          <w:rFonts w:hint="eastAsia" w:ascii="宋体" w:hAnsi="宋体" w:eastAsia="宋体" w:cs="宋体"/>
          <w:sz w:val="24"/>
          <w:highlight w:val="none"/>
        </w:rPr>
      </w:pPr>
    </w:p>
    <w:p w14:paraId="62688B1A">
      <w:pPr>
        <w:rPr>
          <w:rFonts w:hint="eastAsia" w:ascii="宋体" w:hAnsi="宋体" w:eastAsia="宋体" w:cs="宋体"/>
          <w:sz w:val="24"/>
          <w:highlight w:val="none"/>
        </w:rPr>
      </w:pPr>
    </w:p>
    <w:p w14:paraId="193D9E64">
      <w:pPr>
        <w:rPr>
          <w:rFonts w:hint="eastAsia" w:ascii="宋体" w:hAnsi="宋体" w:eastAsia="宋体" w:cs="宋体"/>
          <w:sz w:val="28"/>
          <w:highlight w:val="none"/>
          <w:u w:val="single"/>
        </w:rPr>
      </w:pPr>
      <w:r>
        <w:rPr>
          <w:rFonts w:hint="eastAsia" w:ascii="宋体" w:hAnsi="宋体" w:eastAsia="宋体" w:cs="宋体"/>
          <w:sz w:val="28"/>
          <w:highlight w:val="none"/>
        </w:rPr>
        <w:t>项目名称：</w:t>
      </w:r>
    </w:p>
    <w:p w14:paraId="0F4E2A0F">
      <w:pPr>
        <w:rPr>
          <w:rFonts w:hint="eastAsia" w:ascii="宋体" w:hAnsi="宋体" w:eastAsia="宋体" w:cs="宋体"/>
          <w:sz w:val="28"/>
          <w:highlight w:val="none"/>
          <w:u w:val="single"/>
        </w:rPr>
      </w:pPr>
    </w:p>
    <w:p w14:paraId="022D8A41">
      <w:pPr>
        <w:rPr>
          <w:rFonts w:hint="eastAsia" w:ascii="宋体" w:hAnsi="宋体" w:eastAsia="宋体" w:cs="宋体"/>
          <w:sz w:val="28"/>
          <w:highlight w:val="none"/>
          <w:u w:val="single"/>
        </w:rPr>
      </w:pPr>
    </w:p>
    <w:p w14:paraId="1A8EF817">
      <w:pPr>
        <w:rPr>
          <w:rFonts w:hint="eastAsia" w:ascii="宋体" w:hAnsi="宋体" w:eastAsia="宋体" w:cs="宋体"/>
          <w:sz w:val="28"/>
          <w:highlight w:val="none"/>
          <w:u w:val="single"/>
        </w:rPr>
      </w:pPr>
      <w:r>
        <w:rPr>
          <w:rFonts w:hint="eastAsia" w:ascii="宋体" w:hAnsi="宋体" w:eastAsia="宋体" w:cs="宋体"/>
          <w:sz w:val="28"/>
          <w:highlight w:val="none"/>
        </w:rPr>
        <w:t>项目编号：</w:t>
      </w:r>
    </w:p>
    <w:p w14:paraId="2790EB9D">
      <w:pPr>
        <w:rPr>
          <w:rFonts w:hint="eastAsia" w:ascii="宋体" w:hAnsi="宋体" w:eastAsia="宋体" w:cs="宋体"/>
          <w:sz w:val="28"/>
          <w:highlight w:val="none"/>
          <w:u w:val="single"/>
        </w:rPr>
      </w:pPr>
    </w:p>
    <w:p w14:paraId="2A362C97">
      <w:pPr>
        <w:rPr>
          <w:rFonts w:hint="eastAsia" w:ascii="宋体" w:hAnsi="宋体" w:eastAsia="宋体" w:cs="宋体"/>
          <w:sz w:val="28"/>
          <w:highlight w:val="none"/>
          <w:u w:val="single"/>
        </w:rPr>
      </w:pPr>
    </w:p>
    <w:p w14:paraId="45162B54">
      <w:pPr>
        <w:rPr>
          <w:rFonts w:hint="eastAsia" w:ascii="宋体" w:hAnsi="宋体" w:eastAsia="宋体" w:cs="宋体"/>
          <w:sz w:val="28"/>
          <w:highlight w:val="none"/>
          <w:u w:val="single"/>
        </w:rPr>
      </w:pPr>
    </w:p>
    <w:p w14:paraId="0E7C2612">
      <w:pPr>
        <w:rPr>
          <w:rFonts w:hint="eastAsia" w:ascii="宋体" w:hAnsi="宋体" w:eastAsia="宋体" w:cs="宋体"/>
          <w:sz w:val="28"/>
          <w:highlight w:val="none"/>
          <w:u w:val="single"/>
        </w:rPr>
      </w:pPr>
    </w:p>
    <w:p w14:paraId="508C34DF">
      <w:pPr>
        <w:rPr>
          <w:rFonts w:hint="eastAsia" w:ascii="宋体" w:hAnsi="宋体" w:eastAsia="宋体" w:cs="宋体"/>
          <w:sz w:val="28"/>
          <w:highlight w:val="none"/>
          <w:u w:val="single"/>
        </w:rPr>
      </w:pPr>
    </w:p>
    <w:p w14:paraId="4C03EA25">
      <w:pPr>
        <w:rPr>
          <w:rFonts w:hint="eastAsia" w:ascii="宋体" w:hAnsi="宋体" w:eastAsia="宋体" w:cs="宋体"/>
          <w:sz w:val="28"/>
          <w:highlight w:val="none"/>
          <w:u w:val="single"/>
        </w:rPr>
      </w:pPr>
    </w:p>
    <w:p w14:paraId="6DACA6B6">
      <w:pPr>
        <w:rPr>
          <w:rFonts w:hint="eastAsia" w:ascii="宋体" w:hAnsi="宋体" w:eastAsia="宋体" w:cs="宋体"/>
          <w:sz w:val="28"/>
          <w:highlight w:val="none"/>
          <w:u w:val="single"/>
        </w:rPr>
      </w:pPr>
    </w:p>
    <w:p w14:paraId="14A26A5C">
      <w:pPr>
        <w:rPr>
          <w:rFonts w:hint="eastAsia" w:ascii="宋体" w:hAnsi="宋体" w:eastAsia="宋体" w:cs="宋体"/>
          <w:sz w:val="28"/>
          <w:highlight w:val="none"/>
          <w:u w:val="single"/>
        </w:rPr>
      </w:pPr>
    </w:p>
    <w:p w14:paraId="1CFCF0BF">
      <w:pPr>
        <w:rPr>
          <w:rFonts w:hint="eastAsia" w:ascii="宋体" w:hAnsi="宋体" w:eastAsia="宋体" w:cs="宋体"/>
          <w:sz w:val="28"/>
          <w:highlight w:val="none"/>
          <w:u w:val="single"/>
        </w:rPr>
      </w:pPr>
    </w:p>
    <w:p w14:paraId="40096AC5">
      <w:pPr>
        <w:jc w:val="center"/>
        <w:rPr>
          <w:rFonts w:hint="eastAsia" w:ascii="宋体" w:hAnsi="宋体" w:eastAsia="宋体" w:cs="宋体"/>
          <w:sz w:val="28"/>
          <w:highlight w:val="none"/>
        </w:rPr>
      </w:pPr>
    </w:p>
    <w:p w14:paraId="17252619">
      <w:pPr>
        <w:jc w:val="center"/>
        <w:rPr>
          <w:rFonts w:hint="eastAsia" w:ascii="宋体" w:hAnsi="宋体" w:eastAsia="宋体" w:cs="宋体"/>
          <w:sz w:val="28"/>
          <w:highlight w:val="none"/>
        </w:rPr>
      </w:pPr>
      <w:r>
        <w:rPr>
          <w:rFonts w:hint="eastAsia" w:ascii="宋体" w:hAnsi="宋体" w:eastAsia="宋体" w:cs="宋体"/>
          <w:sz w:val="28"/>
          <w:highlight w:val="none"/>
        </w:rPr>
        <w:t>单位（</w:t>
      </w:r>
      <w:r>
        <w:rPr>
          <w:rFonts w:hint="eastAsia" w:ascii="宋体" w:hAnsi="宋体" w:eastAsia="宋体" w:cs="宋体"/>
          <w:sz w:val="24"/>
          <w:highlight w:val="none"/>
        </w:rPr>
        <w:t>签章</w:t>
      </w:r>
      <w:r>
        <w:rPr>
          <w:rFonts w:hint="eastAsia" w:ascii="宋体" w:hAnsi="宋体" w:eastAsia="宋体" w:cs="宋体"/>
          <w:sz w:val="28"/>
          <w:highlight w:val="none"/>
        </w:rPr>
        <w:t>）</w:t>
      </w:r>
    </w:p>
    <w:p w14:paraId="55D41FAB">
      <w:pPr>
        <w:jc w:val="center"/>
        <w:rPr>
          <w:rFonts w:hint="eastAsia" w:ascii="宋体" w:hAnsi="宋体" w:eastAsia="宋体" w:cs="宋体"/>
          <w:sz w:val="28"/>
          <w:highlight w:val="none"/>
        </w:rPr>
      </w:pPr>
    </w:p>
    <w:p w14:paraId="701B4662">
      <w:pPr>
        <w:jc w:val="center"/>
        <w:rPr>
          <w:rFonts w:hint="eastAsia" w:ascii="宋体" w:hAnsi="宋体" w:eastAsia="宋体" w:cs="宋体"/>
          <w:w w:val="80"/>
          <w:sz w:val="36"/>
          <w:highlight w:val="none"/>
        </w:rPr>
        <w:sectPr>
          <w:headerReference r:id="rId3" w:type="default"/>
          <w:footerReference r:id="rId4" w:type="default"/>
          <w:footerReference r:id="rId5" w:type="even"/>
          <w:pgSz w:w="11907" w:h="16840"/>
          <w:pgMar w:top="1474" w:right="850" w:bottom="1474" w:left="1134" w:header="720" w:footer="720" w:gutter="0"/>
          <w:pgBorders>
            <w:top w:val="none" w:sz="0" w:space="0"/>
            <w:left w:val="none" w:sz="0" w:space="0"/>
            <w:bottom w:val="none" w:sz="0" w:space="0"/>
            <w:right w:val="none" w:sz="0" w:space="0"/>
          </w:pgBorders>
          <w:pgNumType w:start="0"/>
          <w:cols w:space="720" w:num="1"/>
          <w:titlePg/>
          <w:docGrid w:linePitch="285" w:charSpace="0"/>
        </w:sectPr>
      </w:pPr>
      <w:r>
        <w:rPr>
          <w:rFonts w:hint="eastAsia" w:ascii="宋体" w:hAnsi="宋体" w:eastAsia="宋体" w:cs="宋体"/>
          <w:sz w:val="28"/>
          <w:highlight w:val="none"/>
        </w:rPr>
        <w:t>年月日</w:t>
      </w:r>
    </w:p>
    <w:p w14:paraId="037AF049">
      <w:pPr>
        <w:pStyle w:val="42"/>
        <w:spacing w:before="240"/>
        <w:rPr>
          <w:rFonts w:hint="eastAsia" w:ascii="宋体" w:hAnsi="宋体" w:eastAsia="宋体" w:cs="宋体"/>
          <w:highlight w:val="none"/>
        </w:rPr>
      </w:pPr>
      <w:bookmarkStart w:id="62" w:name="_Toc19610"/>
      <w:r>
        <w:rPr>
          <w:rFonts w:hint="eastAsia" w:ascii="宋体" w:hAnsi="宋体" w:eastAsia="宋体" w:cs="宋体"/>
          <w:highlight w:val="none"/>
        </w:rPr>
        <w:t>格式1. 谈判响应书</w:t>
      </w:r>
      <w:bookmarkEnd w:id="62"/>
    </w:p>
    <w:p w14:paraId="3C2BA2E6">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致：</w:t>
      </w:r>
      <w:r>
        <w:rPr>
          <w:rFonts w:hint="eastAsia" w:ascii="宋体" w:hAnsi="宋体" w:eastAsia="宋体" w:cs="宋体"/>
          <w:sz w:val="24"/>
          <w:highlight w:val="none"/>
          <w:lang w:eastAsia="zh-CN"/>
        </w:rPr>
        <w:t>江西北涛建设工程咨询有限公司</w:t>
      </w:r>
    </w:p>
    <w:p w14:paraId="562C5271">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根据贵方为(</w:t>
      </w:r>
      <w:r>
        <w:rPr>
          <w:rFonts w:hint="eastAsia" w:ascii="宋体" w:hAnsi="宋体" w:eastAsia="宋体" w:cs="宋体"/>
          <w:sz w:val="24"/>
          <w:highlight w:val="none"/>
          <w:u w:val="single"/>
        </w:rPr>
        <w:t>项目名称</w:t>
      </w:r>
      <w:r>
        <w:rPr>
          <w:rFonts w:hint="eastAsia" w:ascii="宋体" w:hAnsi="宋体" w:eastAsia="宋体" w:cs="宋体"/>
          <w:sz w:val="24"/>
          <w:highlight w:val="none"/>
        </w:rPr>
        <w:t>)项目竞争性谈判采购货物及有关服务的谈判邀请</w:t>
      </w:r>
      <w:r>
        <w:rPr>
          <w:rFonts w:hint="eastAsia" w:ascii="宋体" w:hAnsi="宋体" w:eastAsia="宋体" w:cs="宋体"/>
          <w:sz w:val="24"/>
          <w:highlight w:val="none"/>
          <w:u w:val="single"/>
        </w:rPr>
        <w:t>(项目编号)</w:t>
      </w:r>
      <w:r>
        <w:rPr>
          <w:rFonts w:hint="eastAsia" w:ascii="宋体" w:hAnsi="宋体" w:eastAsia="宋体" w:cs="宋体"/>
          <w:sz w:val="24"/>
          <w:highlight w:val="none"/>
        </w:rPr>
        <w:t>，签字代表(</w:t>
      </w:r>
      <w:r>
        <w:rPr>
          <w:rFonts w:hint="eastAsia" w:ascii="宋体" w:hAnsi="宋体" w:eastAsia="宋体" w:cs="宋体"/>
          <w:sz w:val="24"/>
          <w:highlight w:val="none"/>
          <w:u w:val="single"/>
        </w:rPr>
        <w:t>姓名、职务</w:t>
      </w:r>
      <w:r>
        <w:rPr>
          <w:rFonts w:hint="eastAsia" w:ascii="宋体" w:hAnsi="宋体" w:eastAsia="宋体" w:cs="宋体"/>
          <w:sz w:val="24"/>
          <w:highlight w:val="none"/>
        </w:rPr>
        <w:t>)经正式授权并代表我方</w:t>
      </w:r>
      <w:r>
        <w:rPr>
          <w:rFonts w:hint="eastAsia" w:ascii="宋体" w:hAnsi="宋体" w:eastAsia="宋体" w:cs="宋体"/>
          <w:sz w:val="24"/>
          <w:highlight w:val="none"/>
          <w:u w:val="single"/>
        </w:rPr>
        <w:t>(单位名称、地址)</w:t>
      </w:r>
      <w:r>
        <w:rPr>
          <w:rFonts w:hint="eastAsia" w:ascii="宋体" w:hAnsi="宋体" w:eastAsia="宋体" w:cs="宋体"/>
          <w:sz w:val="24"/>
          <w:highlight w:val="none"/>
        </w:rPr>
        <w:t>提交下述文件:</w:t>
      </w:r>
    </w:p>
    <w:p w14:paraId="498A82B5">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1、响应书</w:t>
      </w:r>
    </w:p>
    <w:p w14:paraId="15E244B1">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2、开标一览表</w:t>
      </w:r>
    </w:p>
    <w:p w14:paraId="05A57D28">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3、分项报价表</w:t>
      </w:r>
    </w:p>
    <w:p w14:paraId="00257641">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4、开标一览明细表</w:t>
      </w:r>
    </w:p>
    <w:p w14:paraId="4F0C85EC">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5、服务需求响应/偏离表</w:t>
      </w:r>
    </w:p>
    <w:p w14:paraId="39BBCC7A">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6、商务条件响应/偏离表</w:t>
      </w:r>
    </w:p>
    <w:p w14:paraId="06E5DF9D">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7、技术文件</w:t>
      </w:r>
    </w:p>
    <w:p w14:paraId="0BA5042F">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8、供应商应当提交的资格、资信证明文件</w:t>
      </w:r>
    </w:p>
    <w:p w14:paraId="12F57951">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9. 其他证明资料</w:t>
      </w:r>
    </w:p>
    <w:p w14:paraId="14EDE5FB">
      <w:pPr>
        <w:spacing w:line="360" w:lineRule="auto"/>
        <w:ind w:left="707" w:hanging="283"/>
        <w:rPr>
          <w:rFonts w:hint="eastAsia" w:ascii="宋体" w:hAnsi="宋体" w:eastAsia="宋体" w:cs="宋体"/>
          <w:sz w:val="24"/>
          <w:highlight w:val="none"/>
        </w:rPr>
      </w:pPr>
      <w:r>
        <w:rPr>
          <w:rFonts w:hint="eastAsia" w:ascii="宋体" w:hAnsi="宋体" w:eastAsia="宋体" w:cs="宋体"/>
          <w:sz w:val="24"/>
          <w:highlight w:val="none"/>
        </w:rPr>
        <w:t>据此函,签字代表宣布同意如下:</w:t>
      </w:r>
    </w:p>
    <w:p w14:paraId="4B7E02FB">
      <w:pPr>
        <w:spacing w:line="360" w:lineRule="auto"/>
        <w:ind w:left="707" w:hanging="283"/>
        <w:rPr>
          <w:rFonts w:hint="eastAsia" w:ascii="宋体" w:hAnsi="宋体" w:eastAsia="宋体" w:cs="宋体"/>
          <w:sz w:val="24"/>
          <w:highlight w:val="none"/>
        </w:rPr>
      </w:pPr>
      <w:r>
        <w:rPr>
          <w:rFonts w:hint="eastAsia" w:ascii="宋体" w:hAnsi="宋体" w:eastAsia="宋体" w:cs="宋体"/>
          <w:sz w:val="24"/>
          <w:highlight w:val="none"/>
        </w:rPr>
        <w:t>1. 所附报价表中规定的应提交和交付项目及相关服务的总价为（用文字和数字表示的总价）。</w:t>
      </w:r>
    </w:p>
    <w:p w14:paraId="1ED04D84">
      <w:pPr>
        <w:spacing w:line="360" w:lineRule="auto"/>
        <w:ind w:left="707" w:hanging="283"/>
        <w:rPr>
          <w:rFonts w:hint="eastAsia" w:ascii="宋体" w:hAnsi="宋体" w:eastAsia="宋体" w:cs="宋体"/>
          <w:sz w:val="24"/>
          <w:highlight w:val="none"/>
        </w:rPr>
      </w:pPr>
      <w:r>
        <w:rPr>
          <w:rFonts w:hint="eastAsia" w:ascii="宋体" w:hAnsi="宋体" w:eastAsia="宋体" w:cs="宋体"/>
          <w:sz w:val="24"/>
          <w:highlight w:val="none"/>
        </w:rPr>
        <w:t>2. 我方将按谈判文件的规定履行合同责任和义务。</w:t>
      </w:r>
    </w:p>
    <w:p w14:paraId="2E18605A">
      <w:pPr>
        <w:spacing w:line="360" w:lineRule="auto"/>
        <w:ind w:left="707" w:hanging="283"/>
        <w:rPr>
          <w:rFonts w:hint="eastAsia" w:ascii="宋体" w:hAnsi="宋体" w:eastAsia="宋体" w:cs="宋体"/>
          <w:sz w:val="24"/>
          <w:highlight w:val="none"/>
        </w:rPr>
      </w:pPr>
      <w:r>
        <w:rPr>
          <w:rFonts w:hint="eastAsia" w:ascii="宋体" w:hAnsi="宋体" w:eastAsia="宋体" w:cs="宋体"/>
          <w:sz w:val="24"/>
          <w:highlight w:val="none"/>
        </w:rPr>
        <w:t>3. 我方已详细审查全部谈判文件，包括第</w:t>
      </w:r>
      <w:r>
        <w:rPr>
          <w:rFonts w:hint="eastAsia" w:ascii="宋体" w:hAnsi="宋体" w:eastAsia="宋体" w:cs="宋体"/>
          <w:sz w:val="24"/>
          <w:highlight w:val="none"/>
          <w:u w:val="single"/>
        </w:rPr>
        <w:t>(编号、补遗函)(如果有的话)。</w:t>
      </w:r>
      <w:r>
        <w:rPr>
          <w:rFonts w:hint="eastAsia" w:ascii="宋体" w:hAnsi="宋体" w:eastAsia="宋体" w:cs="宋体"/>
          <w:sz w:val="24"/>
          <w:highlight w:val="none"/>
        </w:rPr>
        <w:t>我们完全理解并同意放弃对这方面有不明及误解的权力。</w:t>
      </w:r>
    </w:p>
    <w:p w14:paraId="218429A1">
      <w:pPr>
        <w:spacing w:line="360" w:lineRule="auto"/>
        <w:ind w:left="707" w:hanging="283"/>
        <w:rPr>
          <w:rFonts w:hint="eastAsia" w:ascii="宋体" w:hAnsi="宋体" w:eastAsia="宋体" w:cs="宋体"/>
          <w:sz w:val="24"/>
          <w:highlight w:val="none"/>
        </w:rPr>
      </w:pPr>
      <w:r>
        <w:rPr>
          <w:rFonts w:hint="eastAsia" w:ascii="宋体" w:hAnsi="宋体" w:eastAsia="宋体" w:cs="宋体"/>
          <w:sz w:val="24"/>
          <w:highlight w:val="none"/>
        </w:rPr>
        <w:t>4. 本谈判有效期为自谈判之日起</w:t>
      </w:r>
      <w:r>
        <w:rPr>
          <w:rFonts w:hint="eastAsia" w:ascii="宋体" w:hAnsi="宋体" w:eastAsia="宋体" w:cs="宋体"/>
          <w:sz w:val="24"/>
          <w:highlight w:val="none"/>
          <w:u w:val="single"/>
        </w:rPr>
        <w:t xml:space="preserve">  90  </w:t>
      </w:r>
      <w:r>
        <w:rPr>
          <w:rFonts w:hint="eastAsia" w:ascii="宋体" w:hAnsi="宋体" w:eastAsia="宋体" w:cs="宋体"/>
          <w:sz w:val="24"/>
          <w:highlight w:val="none"/>
        </w:rPr>
        <w:t>天。</w:t>
      </w:r>
    </w:p>
    <w:p w14:paraId="207CB97A">
      <w:pPr>
        <w:spacing w:line="360" w:lineRule="auto"/>
        <w:ind w:left="707" w:hanging="283"/>
        <w:rPr>
          <w:rFonts w:hint="eastAsia" w:ascii="宋体" w:hAnsi="宋体" w:eastAsia="宋体" w:cs="宋体"/>
          <w:sz w:val="24"/>
          <w:highlight w:val="none"/>
        </w:rPr>
      </w:pPr>
      <w:r>
        <w:rPr>
          <w:rFonts w:hint="eastAsia" w:ascii="宋体" w:hAnsi="宋体" w:eastAsia="宋体" w:cs="宋体"/>
          <w:sz w:val="24"/>
          <w:highlight w:val="none"/>
        </w:rPr>
        <w:t>5. 如果在规定的谈判时间后，我方在谈判有效期内撤回响应文件，谈判保证金不予退还。</w:t>
      </w:r>
    </w:p>
    <w:p w14:paraId="10AD0468">
      <w:pPr>
        <w:spacing w:line="360" w:lineRule="auto"/>
        <w:ind w:left="707" w:hanging="283"/>
        <w:rPr>
          <w:rFonts w:hint="eastAsia" w:ascii="宋体" w:hAnsi="宋体" w:eastAsia="宋体" w:cs="宋体"/>
          <w:sz w:val="24"/>
          <w:highlight w:val="none"/>
        </w:rPr>
      </w:pPr>
      <w:r>
        <w:rPr>
          <w:rFonts w:hint="eastAsia" w:ascii="宋体" w:hAnsi="宋体" w:eastAsia="宋体" w:cs="宋体"/>
          <w:sz w:val="24"/>
          <w:highlight w:val="none"/>
        </w:rPr>
        <w:t>6.我方同意提供按照贵方可能要求的与其谈判有关的一切数据或资料。</w:t>
      </w:r>
    </w:p>
    <w:p w14:paraId="7701C91A">
      <w:pPr>
        <w:spacing w:line="360" w:lineRule="auto"/>
        <w:ind w:left="707" w:hanging="283"/>
        <w:rPr>
          <w:rFonts w:hint="eastAsia" w:ascii="宋体" w:hAnsi="宋体" w:eastAsia="宋体" w:cs="宋体"/>
          <w:sz w:val="24"/>
          <w:highlight w:val="none"/>
        </w:rPr>
      </w:pPr>
      <w:r>
        <w:rPr>
          <w:rFonts w:hint="eastAsia" w:ascii="宋体" w:hAnsi="宋体" w:eastAsia="宋体" w:cs="宋体"/>
          <w:sz w:val="24"/>
          <w:highlight w:val="none"/>
        </w:rPr>
        <w:t>7.与本谈判有关的一切正式往来信函请寄:</w:t>
      </w:r>
    </w:p>
    <w:p w14:paraId="4638831E">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地址       传真</w:t>
      </w:r>
    </w:p>
    <w:p w14:paraId="0ACBDF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电话       电子邮件</w:t>
      </w:r>
    </w:p>
    <w:p w14:paraId="4816411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供应商代表签字或签章</w:t>
      </w:r>
    </w:p>
    <w:p w14:paraId="5D05FA95">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供应商盖章</w:t>
      </w:r>
    </w:p>
    <w:p w14:paraId="4AE00F18">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日期</w:t>
      </w:r>
    </w:p>
    <w:p w14:paraId="1D8FDA32">
      <w:pPr>
        <w:spacing w:line="360" w:lineRule="auto"/>
        <w:jc w:val="center"/>
        <w:rPr>
          <w:rFonts w:hint="eastAsia" w:ascii="宋体" w:hAnsi="宋体" w:eastAsia="宋体" w:cs="宋体"/>
          <w:sz w:val="28"/>
          <w:highlight w:val="none"/>
        </w:rPr>
        <w:sectPr>
          <w:footerReference r:id="rId6" w:type="default"/>
          <w:pgSz w:w="11907" w:h="16840"/>
          <w:pgMar w:top="1474" w:right="1134" w:bottom="1474" w:left="1134" w:header="720" w:footer="720" w:gutter="0"/>
          <w:pgBorders>
            <w:top w:val="none" w:sz="0" w:space="0"/>
            <w:left w:val="none" w:sz="0" w:space="0"/>
            <w:bottom w:val="none" w:sz="0" w:space="0"/>
            <w:right w:val="none" w:sz="0" w:space="0"/>
          </w:pgBorders>
          <w:cols w:space="720" w:num="1"/>
          <w:docGrid w:linePitch="285" w:charSpace="0"/>
        </w:sectPr>
      </w:pPr>
    </w:p>
    <w:p w14:paraId="4A35DA3F">
      <w:pPr>
        <w:pStyle w:val="5"/>
        <w:jc w:val="center"/>
        <w:rPr>
          <w:rFonts w:hint="eastAsia" w:ascii="宋体" w:hAnsi="宋体" w:eastAsia="宋体" w:cs="宋体"/>
          <w:color w:val="auto"/>
          <w:highlight w:val="none"/>
        </w:rPr>
      </w:pPr>
      <w:bookmarkStart w:id="63" w:name="_Toc28643"/>
      <w:bookmarkStart w:id="64" w:name="_Toc5532"/>
      <w:bookmarkStart w:id="65" w:name="_Toc505076479"/>
      <w:r>
        <w:rPr>
          <w:rFonts w:hint="eastAsia" w:ascii="宋体" w:hAnsi="宋体" w:eastAsia="宋体" w:cs="宋体"/>
          <w:color w:val="auto"/>
          <w:highlight w:val="none"/>
        </w:rPr>
        <w:t>格式2.开标一览表</w:t>
      </w:r>
      <w:bookmarkEnd w:id="63"/>
      <w:bookmarkEnd w:id="64"/>
    </w:p>
    <w:p w14:paraId="19B09FE7">
      <w:pPr>
        <w:spacing w:line="380" w:lineRule="exact"/>
        <w:ind w:left="707" w:hanging="283"/>
        <w:rPr>
          <w:rFonts w:ascii="宋体" w:hAnsi="宋体" w:cs="宋体"/>
          <w:color w:val="auto"/>
          <w:sz w:val="24"/>
          <w:highlight w:val="none"/>
        </w:rPr>
      </w:pPr>
    </w:p>
    <w:p w14:paraId="420EC436">
      <w:pPr>
        <w:spacing w:before="75" w:after="240" w:line="227" w:lineRule="auto"/>
        <w:ind w:left="373"/>
        <w:rPr>
          <w:rFonts w:ascii="宋体" w:hAnsi="宋体" w:cs="宋体"/>
          <w:color w:val="auto"/>
          <w:sz w:val="24"/>
          <w:szCs w:val="24"/>
          <w:highlight w:val="none"/>
        </w:rPr>
      </w:pPr>
      <w:r>
        <w:rPr>
          <w:rFonts w:ascii="宋体" w:hAnsi="宋体" w:cs="宋体"/>
          <w:color w:val="auto"/>
          <w:spacing w:val="-4"/>
          <w:sz w:val="24"/>
          <w:szCs w:val="24"/>
          <w:highlight w:val="none"/>
        </w:rPr>
        <w:t>项目名称：</w:t>
      </w:r>
      <w:r>
        <w:rPr>
          <w:rFonts w:ascii="宋体" w:hAnsi="宋体" w:cs="宋体"/>
          <w:color w:val="auto"/>
          <w:spacing w:val="-4"/>
          <w:sz w:val="24"/>
          <w:szCs w:val="24"/>
          <w:highlight w:val="none"/>
          <w:u w:val="single"/>
        </w:rPr>
        <w:t xml:space="preserve">                                 </w:t>
      </w:r>
      <w:r>
        <w:rPr>
          <w:rFonts w:ascii="宋体" w:hAnsi="宋体" w:cs="宋体"/>
          <w:color w:val="auto"/>
          <w:spacing w:val="-2"/>
          <w:sz w:val="24"/>
          <w:szCs w:val="24"/>
          <w:highlight w:val="none"/>
          <w:u w:val="single"/>
        </w:rPr>
        <w:t xml:space="preserve">        </w:t>
      </w:r>
      <w:r>
        <w:rPr>
          <w:rFonts w:ascii="宋体" w:hAnsi="宋体" w:cs="宋体"/>
          <w:color w:val="auto"/>
          <w:spacing w:val="-2"/>
          <w:sz w:val="24"/>
          <w:szCs w:val="24"/>
          <w:highlight w:val="none"/>
        </w:rPr>
        <w:t>招标编号：</w:t>
      </w:r>
      <w:r>
        <w:rPr>
          <w:rFonts w:ascii="宋体" w:hAnsi="宋体" w:cs="宋体"/>
          <w:color w:val="auto"/>
          <w:spacing w:val="-2"/>
          <w:sz w:val="24"/>
          <w:szCs w:val="24"/>
          <w:highlight w:val="none"/>
          <w:u w:val="single"/>
        </w:rPr>
        <w:t xml:space="preserve">                                 </w:t>
      </w:r>
      <w:r>
        <w:rPr>
          <w:rFonts w:ascii="宋体" w:hAnsi="宋体" w:cs="宋体"/>
          <w:color w:val="auto"/>
          <w:spacing w:val="-2"/>
          <w:sz w:val="24"/>
          <w:szCs w:val="24"/>
          <w:highlight w:val="none"/>
        </w:rPr>
        <w:t xml:space="preserve">   </w:t>
      </w:r>
    </w:p>
    <w:tbl>
      <w:tblPr>
        <w:tblStyle w:val="17"/>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6"/>
        <w:gridCol w:w="1617"/>
        <w:gridCol w:w="3166"/>
        <w:gridCol w:w="1635"/>
        <w:gridCol w:w="2548"/>
        <w:gridCol w:w="1399"/>
      </w:tblGrid>
      <w:tr w14:paraId="2579E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jc w:val="center"/>
        </w:trPr>
        <w:tc>
          <w:tcPr>
            <w:tcW w:w="2896" w:type="dxa"/>
            <w:noWrap w:val="0"/>
            <w:vAlign w:val="center"/>
          </w:tcPr>
          <w:p w14:paraId="249EE29C">
            <w:pPr>
              <w:spacing w:before="74" w:line="229" w:lineRule="auto"/>
              <w:ind w:left="1214"/>
              <w:rPr>
                <w:rFonts w:ascii="宋体" w:hAnsi="宋体" w:cs="宋体"/>
                <w:color w:val="auto"/>
                <w:sz w:val="24"/>
                <w:szCs w:val="24"/>
                <w:highlight w:val="none"/>
              </w:rPr>
            </w:pPr>
            <w:r>
              <w:rPr>
                <w:rFonts w:ascii="宋体" w:hAnsi="宋体" w:cs="宋体"/>
                <w:color w:val="auto"/>
                <w:spacing w:val="6"/>
                <w:sz w:val="24"/>
                <w:szCs w:val="24"/>
                <w:highlight w:val="none"/>
              </w:rPr>
              <w:t>序</w:t>
            </w:r>
            <w:r>
              <w:rPr>
                <w:rFonts w:ascii="宋体" w:hAnsi="宋体" w:cs="宋体"/>
                <w:color w:val="auto"/>
                <w:spacing w:val="5"/>
                <w:sz w:val="24"/>
                <w:szCs w:val="24"/>
                <w:highlight w:val="none"/>
              </w:rPr>
              <w:t>号</w:t>
            </w:r>
          </w:p>
        </w:tc>
        <w:tc>
          <w:tcPr>
            <w:tcW w:w="1617" w:type="dxa"/>
            <w:noWrap w:val="0"/>
            <w:vAlign w:val="center"/>
          </w:tcPr>
          <w:p w14:paraId="7218EE19">
            <w:pPr>
              <w:spacing w:before="226" w:line="383" w:lineRule="auto"/>
              <w:ind w:left="79" w:right="206"/>
              <w:jc w:val="center"/>
              <w:rPr>
                <w:rFonts w:ascii="宋体" w:hAnsi="宋体" w:cs="宋体"/>
                <w:color w:val="auto"/>
                <w:sz w:val="24"/>
                <w:szCs w:val="24"/>
                <w:highlight w:val="none"/>
              </w:rPr>
            </w:pPr>
            <w:r>
              <w:rPr>
                <w:rFonts w:ascii="宋体" w:hAnsi="宋体" w:cs="宋体"/>
                <w:color w:val="auto"/>
                <w:spacing w:val="10"/>
                <w:sz w:val="24"/>
                <w:szCs w:val="24"/>
                <w:highlight w:val="none"/>
              </w:rPr>
              <w:t>投</w:t>
            </w:r>
            <w:r>
              <w:rPr>
                <w:rFonts w:ascii="宋体" w:hAnsi="宋体" w:cs="宋体"/>
                <w:color w:val="auto"/>
                <w:spacing w:val="8"/>
                <w:sz w:val="24"/>
                <w:szCs w:val="24"/>
                <w:highlight w:val="none"/>
              </w:rPr>
              <w:t>标供应商</w:t>
            </w:r>
            <w:r>
              <w:rPr>
                <w:rFonts w:ascii="宋体" w:hAnsi="宋体" w:cs="宋体"/>
                <w:color w:val="auto"/>
                <w:sz w:val="24"/>
                <w:szCs w:val="24"/>
                <w:highlight w:val="none"/>
              </w:rPr>
              <w:t xml:space="preserve"> </w:t>
            </w:r>
            <w:r>
              <w:rPr>
                <w:rFonts w:ascii="宋体" w:hAnsi="宋体" w:cs="宋体"/>
                <w:color w:val="auto"/>
                <w:spacing w:val="4"/>
                <w:sz w:val="24"/>
                <w:szCs w:val="24"/>
                <w:highlight w:val="none"/>
              </w:rPr>
              <w:t>名</w:t>
            </w:r>
            <w:r>
              <w:rPr>
                <w:rFonts w:ascii="宋体" w:hAnsi="宋体" w:cs="宋体"/>
                <w:color w:val="auto"/>
                <w:spacing w:val="3"/>
                <w:sz w:val="24"/>
                <w:szCs w:val="24"/>
                <w:highlight w:val="none"/>
              </w:rPr>
              <w:t>称</w:t>
            </w:r>
          </w:p>
        </w:tc>
        <w:tc>
          <w:tcPr>
            <w:tcW w:w="3166" w:type="dxa"/>
            <w:noWrap w:val="0"/>
            <w:vAlign w:val="center"/>
          </w:tcPr>
          <w:p w14:paraId="383B8CAD">
            <w:pPr>
              <w:spacing w:before="226" w:line="226" w:lineRule="auto"/>
              <w:ind w:left="1109"/>
              <w:rPr>
                <w:rFonts w:ascii="宋体" w:hAnsi="宋体" w:cs="宋体"/>
                <w:color w:val="auto"/>
                <w:sz w:val="24"/>
                <w:szCs w:val="24"/>
                <w:highlight w:val="none"/>
              </w:rPr>
            </w:pPr>
            <w:r>
              <w:rPr>
                <w:rFonts w:ascii="宋体" w:hAnsi="宋体" w:cs="宋体"/>
                <w:color w:val="auto"/>
                <w:spacing w:val="9"/>
                <w:sz w:val="24"/>
                <w:szCs w:val="24"/>
                <w:highlight w:val="none"/>
              </w:rPr>
              <w:t>投</w:t>
            </w:r>
            <w:r>
              <w:rPr>
                <w:rFonts w:ascii="宋体" w:hAnsi="宋体" w:cs="宋体"/>
                <w:color w:val="auto"/>
                <w:spacing w:val="7"/>
                <w:sz w:val="24"/>
                <w:szCs w:val="24"/>
                <w:highlight w:val="none"/>
              </w:rPr>
              <w:t>标总价</w:t>
            </w:r>
            <w:r>
              <w:rPr>
                <w:rFonts w:ascii="宋体" w:hAnsi="宋体" w:cs="宋体"/>
                <w:color w:val="auto"/>
                <w:spacing w:val="38"/>
                <w:sz w:val="24"/>
                <w:szCs w:val="24"/>
                <w:highlight w:val="none"/>
              </w:rPr>
              <w:t>(元)</w:t>
            </w:r>
          </w:p>
        </w:tc>
        <w:tc>
          <w:tcPr>
            <w:tcW w:w="1635" w:type="dxa"/>
            <w:noWrap w:val="0"/>
            <w:vAlign w:val="center"/>
          </w:tcPr>
          <w:p w14:paraId="3F28B4C4">
            <w:pPr>
              <w:spacing w:before="75" w:line="227" w:lineRule="auto"/>
              <w:ind w:left="347"/>
              <w:rPr>
                <w:rFonts w:ascii="宋体" w:hAnsi="宋体" w:cs="宋体"/>
                <w:color w:val="auto"/>
                <w:sz w:val="24"/>
                <w:szCs w:val="24"/>
                <w:highlight w:val="none"/>
              </w:rPr>
            </w:pPr>
            <w:r>
              <w:rPr>
                <w:rFonts w:ascii="宋体" w:hAnsi="宋体" w:cs="宋体"/>
                <w:color w:val="auto"/>
                <w:spacing w:val="7"/>
                <w:sz w:val="24"/>
                <w:szCs w:val="24"/>
                <w:highlight w:val="none"/>
              </w:rPr>
              <w:t>交货时间</w:t>
            </w:r>
          </w:p>
        </w:tc>
        <w:tc>
          <w:tcPr>
            <w:tcW w:w="2548" w:type="dxa"/>
            <w:noWrap w:val="0"/>
            <w:vAlign w:val="center"/>
          </w:tcPr>
          <w:p w14:paraId="2C45DFFD">
            <w:pPr>
              <w:spacing w:before="75" w:line="227" w:lineRule="auto"/>
              <w:ind w:left="805"/>
              <w:rPr>
                <w:rFonts w:ascii="宋体" w:hAnsi="宋体" w:cs="宋体"/>
                <w:color w:val="auto"/>
                <w:sz w:val="24"/>
                <w:szCs w:val="24"/>
                <w:highlight w:val="none"/>
              </w:rPr>
            </w:pPr>
            <w:r>
              <w:rPr>
                <w:rFonts w:ascii="宋体" w:hAnsi="宋体" w:cs="宋体"/>
                <w:color w:val="auto"/>
                <w:spacing w:val="7"/>
                <w:sz w:val="24"/>
                <w:szCs w:val="24"/>
                <w:highlight w:val="none"/>
              </w:rPr>
              <w:t>交货地点</w:t>
            </w:r>
          </w:p>
        </w:tc>
        <w:tc>
          <w:tcPr>
            <w:tcW w:w="1399" w:type="dxa"/>
            <w:noWrap w:val="0"/>
            <w:vAlign w:val="center"/>
          </w:tcPr>
          <w:p w14:paraId="5AFC4826">
            <w:pPr>
              <w:spacing w:before="74" w:line="229" w:lineRule="auto"/>
              <w:ind w:left="468"/>
              <w:rPr>
                <w:rFonts w:ascii="宋体" w:hAnsi="宋体" w:cs="宋体"/>
                <w:color w:val="auto"/>
                <w:sz w:val="24"/>
                <w:szCs w:val="24"/>
                <w:highlight w:val="none"/>
              </w:rPr>
            </w:pPr>
            <w:r>
              <w:rPr>
                <w:rFonts w:ascii="宋体" w:hAnsi="宋体" w:cs="宋体"/>
                <w:color w:val="auto"/>
                <w:spacing w:val="4"/>
                <w:sz w:val="24"/>
                <w:szCs w:val="24"/>
                <w:highlight w:val="none"/>
              </w:rPr>
              <w:t>备</w:t>
            </w:r>
            <w:r>
              <w:rPr>
                <w:rFonts w:ascii="宋体" w:hAnsi="宋体" w:cs="宋体"/>
                <w:color w:val="auto"/>
                <w:spacing w:val="3"/>
                <w:sz w:val="24"/>
                <w:szCs w:val="24"/>
                <w:highlight w:val="none"/>
              </w:rPr>
              <w:t>注</w:t>
            </w:r>
          </w:p>
        </w:tc>
      </w:tr>
      <w:tr w14:paraId="629F2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2896" w:type="dxa"/>
            <w:noWrap w:val="0"/>
            <w:vAlign w:val="center"/>
          </w:tcPr>
          <w:p w14:paraId="05DFA549">
            <w:pPr>
              <w:spacing w:before="74" w:line="229" w:lineRule="auto"/>
              <w:jc w:val="center"/>
              <w:rPr>
                <w:rFonts w:hint="eastAsia" w:ascii="宋体" w:hAnsi="宋体" w:cs="宋体"/>
                <w:color w:val="auto"/>
                <w:spacing w:val="6"/>
                <w:sz w:val="24"/>
                <w:szCs w:val="24"/>
                <w:highlight w:val="none"/>
              </w:rPr>
            </w:pPr>
          </w:p>
        </w:tc>
        <w:tc>
          <w:tcPr>
            <w:tcW w:w="1617" w:type="dxa"/>
            <w:noWrap w:val="0"/>
            <w:vAlign w:val="center"/>
          </w:tcPr>
          <w:p w14:paraId="78AFF31E">
            <w:pPr>
              <w:spacing w:before="74" w:line="229" w:lineRule="auto"/>
              <w:jc w:val="center"/>
              <w:rPr>
                <w:rFonts w:hint="eastAsia" w:ascii="宋体" w:hAnsi="宋体" w:cs="宋体"/>
                <w:color w:val="auto"/>
                <w:spacing w:val="6"/>
                <w:sz w:val="24"/>
                <w:szCs w:val="24"/>
                <w:highlight w:val="none"/>
              </w:rPr>
            </w:pPr>
          </w:p>
        </w:tc>
        <w:tc>
          <w:tcPr>
            <w:tcW w:w="3166" w:type="dxa"/>
            <w:noWrap w:val="0"/>
            <w:vAlign w:val="center"/>
          </w:tcPr>
          <w:p w14:paraId="530DBF09">
            <w:pPr>
              <w:spacing w:before="74" w:line="229" w:lineRule="auto"/>
              <w:jc w:val="center"/>
              <w:rPr>
                <w:rFonts w:hint="eastAsia" w:ascii="宋体" w:hAnsi="宋体" w:cs="宋体"/>
                <w:color w:val="auto"/>
                <w:spacing w:val="6"/>
                <w:sz w:val="24"/>
                <w:szCs w:val="24"/>
                <w:highlight w:val="none"/>
              </w:rPr>
            </w:pPr>
          </w:p>
        </w:tc>
        <w:tc>
          <w:tcPr>
            <w:tcW w:w="1635" w:type="dxa"/>
            <w:noWrap w:val="0"/>
            <w:vAlign w:val="center"/>
          </w:tcPr>
          <w:p w14:paraId="63EE3C69">
            <w:pPr>
              <w:spacing w:before="74" w:line="229" w:lineRule="auto"/>
              <w:jc w:val="center"/>
              <w:rPr>
                <w:rFonts w:hint="eastAsia" w:ascii="宋体" w:hAnsi="宋体" w:cs="宋体"/>
                <w:color w:val="auto"/>
                <w:spacing w:val="6"/>
                <w:sz w:val="24"/>
                <w:szCs w:val="24"/>
                <w:highlight w:val="none"/>
              </w:rPr>
            </w:pPr>
          </w:p>
        </w:tc>
        <w:tc>
          <w:tcPr>
            <w:tcW w:w="2548" w:type="dxa"/>
            <w:noWrap w:val="0"/>
            <w:vAlign w:val="center"/>
          </w:tcPr>
          <w:p w14:paraId="3D8112FF">
            <w:pPr>
              <w:spacing w:before="74" w:line="229" w:lineRule="auto"/>
              <w:jc w:val="center"/>
              <w:rPr>
                <w:rFonts w:hint="eastAsia" w:ascii="宋体" w:hAnsi="宋体" w:cs="宋体"/>
                <w:color w:val="auto"/>
                <w:spacing w:val="6"/>
                <w:sz w:val="24"/>
                <w:szCs w:val="24"/>
                <w:highlight w:val="none"/>
              </w:rPr>
            </w:pPr>
          </w:p>
        </w:tc>
        <w:tc>
          <w:tcPr>
            <w:tcW w:w="1399" w:type="dxa"/>
            <w:noWrap w:val="0"/>
            <w:vAlign w:val="center"/>
          </w:tcPr>
          <w:p w14:paraId="6C385695">
            <w:pPr>
              <w:spacing w:before="74" w:line="229" w:lineRule="auto"/>
              <w:jc w:val="center"/>
              <w:rPr>
                <w:rFonts w:hint="eastAsia" w:ascii="宋体" w:hAnsi="宋体" w:cs="宋体"/>
                <w:color w:val="auto"/>
                <w:spacing w:val="6"/>
                <w:sz w:val="24"/>
                <w:szCs w:val="24"/>
                <w:highlight w:val="none"/>
              </w:rPr>
            </w:pPr>
          </w:p>
        </w:tc>
      </w:tr>
    </w:tbl>
    <w:p w14:paraId="2E62914F">
      <w:pPr>
        <w:spacing w:before="226" w:line="383" w:lineRule="auto"/>
        <w:ind w:left="79" w:right="206" w:firstLine="256" w:firstLineChars="100"/>
        <w:jc w:val="left"/>
        <w:rPr>
          <w:rFonts w:ascii="宋体" w:hAnsi="宋体" w:eastAsia="宋体" w:cs="宋体"/>
          <w:color w:val="auto"/>
          <w:spacing w:val="8"/>
          <w:sz w:val="24"/>
          <w:szCs w:val="24"/>
          <w:highlight w:val="none"/>
        </w:rPr>
      </w:pPr>
      <w:r>
        <w:rPr>
          <w:rFonts w:ascii="宋体" w:hAnsi="宋体" w:eastAsia="宋体" w:cs="宋体"/>
          <w:color w:val="auto"/>
          <w:spacing w:val="8"/>
          <w:sz w:val="24"/>
          <w:szCs w:val="24"/>
          <w:highlight w:val="none"/>
        </w:rPr>
        <w:t>注：报价应是最终用户验收合格后的总价，包括</w:t>
      </w:r>
      <w:r>
        <w:rPr>
          <w:rFonts w:hint="eastAsia" w:ascii="宋体" w:hAnsi="宋体" w:eastAsia="宋体" w:cs="宋体"/>
          <w:color w:val="auto"/>
          <w:spacing w:val="8"/>
          <w:sz w:val="24"/>
          <w:szCs w:val="24"/>
          <w:highlight w:val="none"/>
          <w:lang w:eastAsia="zh-CN"/>
        </w:rPr>
        <w:t>货到工地指定地点的含税价，含</w:t>
      </w:r>
      <w:r>
        <w:rPr>
          <w:rFonts w:hint="eastAsia" w:ascii="宋体" w:hAnsi="宋体" w:eastAsia="宋体" w:cs="宋体"/>
          <w:color w:val="auto"/>
          <w:spacing w:val="8"/>
          <w:sz w:val="24"/>
          <w:szCs w:val="24"/>
          <w:highlight w:val="none"/>
          <w:lang w:val="en-US" w:eastAsia="zh-CN"/>
        </w:rPr>
        <w:t>材料、</w:t>
      </w:r>
      <w:r>
        <w:rPr>
          <w:rFonts w:hint="eastAsia" w:ascii="宋体" w:hAnsi="宋体" w:eastAsia="宋体" w:cs="宋体"/>
          <w:color w:val="auto"/>
          <w:spacing w:val="8"/>
          <w:sz w:val="24"/>
          <w:szCs w:val="24"/>
          <w:highlight w:val="none"/>
          <w:lang w:eastAsia="zh-CN"/>
        </w:rPr>
        <w:t>运输、保险、运输损耗、装卸货、税金等</w:t>
      </w:r>
      <w:r>
        <w:rPr>
          <w:rFonts w:ascii="宋体" w:hAnsi="宋体" w:eastAsia="宋体" w:cs="宋体"/>
          <w:color w:val="auto"/>
          <w:spacing w:val="8"/>
          <w:sz w:val="24"/>
          <w:szCs w:val="24"/>
          <w:highlight w:val="none"/>
        </w:rPr>
        <w:t>。</w:t>
      </w:r>
    </w:p>
    <w:p w14:paraId="3DB51E2C">
      <w:pPr>
        <w:spacing w:line="432" w:lineRule="auto"/>
        <w:rPr>
          <w:rFonts w:ascii="宋体" w:hAnsi="宋体" w:cs="宋体"/>
          <w:color w:val="auto"/>
          <w:sz w:val="24"/>
          <w:szCs w:val="24"/>
          <w:highlight w:val="none"/>
        </w:rPr>
      </w:pPr>
    </w:p>
    <w:p w14:paraId="4F6BDC18">
      <w:pPr>
        <w:spacing w:line="43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供应商盖章：</w:t>
      </w:r>
    </w:p>
    <w:p w14:paraId="03C324D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日期：年 月 日</w:t>
      </w:r>
    </w:p>
    <w:p w14:paraId="3C32129F">
      <w:pPr>
        <w:pStyle w:val="5"/>
        <w:jc w:val="center"/>
        <w:rPr>
          <w:rFonts w:ascii="宋体" w:hAnsi="宋体" w:eastAsia="宋体" w:cs="宋体"/>
          <w:color w:val="auto"/>
          <w:sz w:val="24"/>
          <w:szCs w:val="24"/>
          <w:highlight w:val="none"/>
        </w:rPr>
      </w:pPr>
      <w:r>
        <w:rPr>
          <w:rFonts w:ascii="宋体" w:hAnsi="宋体" w:cs="宋体"/>
          <w:color w:val="auto"/>
          <w:sz w:val="24"/>
          <w:szCs w:val="24"/>
          <w:highlight w:val="none"/>
        </w:rPr>
        <w:br w:type="page"/>
      </w:r>
      <w:bookmarkStart w:id="66" w:name="_Toc26898"/>
      <w:bookmarkStart w:id="67" w:name="_Toc9622"/>
      <w:r>
        <w:rPr>
          <w:rFonts w:hint="eastAsia" w:ascii="宋体" w:hAnsi="宋体" w:eastAsia="宋体" w:cs="宋体"/>
          <w:color w:val="auto"/>
          <w:sz w:val="24"/>
          <w:szCs w:val="24"/>
          <w:highlight w:val="none"/>
        </w:rPr>
        <w:t>格式</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分项报价明细表</w:t>
      </w:r>
      <w:bookmarkEnd w:id="66"/>
      <w:bookmarkEnd w:id="67"/>
    </w:p>
    <w:p w14:paraId="7A204EC7">
      <w:pPr>
        <w:spacing w:before="75" w:after="240" w:line="227" w:lineRule="auto"/>
        <w:ind w:left="373"/>
        <w:rPr>
          <w:rFonts w:ascii="宋体" w:hAnsi="宋体" w:cs="宋体"/>
          <w:color w:val="auto"/>
          <w:sz w:val="24"/>
          <w:szCs w:val="24"/>
          <w:highlight w:val="none"/>
        </w:rPr>
      </w:pPr>
      <w:r>
        <w:rPr>
          <w:rFonts w:ascii="宋体" w:hAnsi="宋体" w:cs="宋体"/>
          <w:color w:val="auto"/>
          <w:spacing w:val="-4"/>
          <w:sz w:val="24"/>
          <w:szCs w:val="24"/>
          <w:highlight w:val="none"/>
        </w:rPr>
        <w:t>项目名称：</w:t>
      </w:r>
      <w:r>
        <w:rPr>
          <w:rFonts w:ascii="宋体" w:hAnsi="宋体" w:cs="宋体"/>
          <w:color w:val="auto"/>
          <w:spacing w:val="-4"/>
          <w:sz w:val="24"/>
          <w:szCs w:val="24"/>
          <w:highlight w:val="none"/>
          <w:u w:val="single"/>
        </w:rPr>
        <w:t xml:space="preserve">                                 </w:t>
      </w:r>
      <w:r>
        <w:rPr>
          <w:rFonts w:ascii="宋体" w:hAnsi="宋体" w:cs="宋体"/>
          <w:color w:val="auto"/>
          <w:spacing w:val="-2"/>
          <w:sz w:val="24"/>
          <w:szCs w:val="24"/>
          <w:highlight w:val="none"/>
          <w:u w:val="single"/>
        </w:rPr>
        <w:t xml:space="preserve">        </w:t>
      </w:r>
      <w:r>
        <w:rPr>
          <w:rFonts w:ascii="宋体" w:hAnsi="宋体" w:cs="宋体"/>
          <w:color w:val="auto"/>
          <w:spacing w:val="-2"/>
          <w:sz w:val="24"/>
          <w:szCs w:val="24"/>
          <w:highlight w:val="none"/>
        </w:rPr>
        <w:t>招标编号：</w:t>
      </w:r>
      <w:r>
        <w:rPr>
          <w:rFonts w:ascii="宋体" w:hAnsi="宋体" w:cs="宋体"/>
          <w:color w:val="auto"/>
          <w:spacing w:val="-2"/>
          <w:sz w:val="24"/>
          <w:szCs w:val="24"/>
          <w:highlight w:val="none"/>
          <w:u w:val="single"/>
        </w:rPr>
        <w:t xml:space="preserve">                                 </w:t>
      </w:r>
      <w:r>
        <w:rPr>
          <w:rFonts w:ascii="宋体" w:hAnsi="宋体" w:cs="宋体"/>
          <w:color w:val="auto"/>
          <w:spacing w:val="-2"/>
          <w:sz w:val="24"/>
          <w:szCs w:val="24"/>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526"/>
        <w:gridCol w:w="1373"/>
        <w:gridCol w:w="1300"/>
        <w:gridCol w:w="1500"/>
        <w:gridCol w:w="1482"/>
        <w:gridCol w:w="1572"/>
        <w:gridCol w:w="1837"/>
        <w:gridCol w:w="1281"/>
      </w:tblGrid>
      <w:tr w14:paraId="466B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302" w:type="dxa"/>
            <w:noWrap w:val="0"/>
            <w:vAlign w:val="center"/>
          </w:tcPr>
          <w:p w14:paraId="571EC1E8">
            <w:pPr>
              <w:jc w:val="center"/>
              <w:rPr>
                <w:color w:val="auto"/>
                <w:sz w:val="24"/>
                <w:szCs w:val="24"/>
                <w:highlight w:val="none"/>
              </w:rPr>
            </w:pPr>
            <w:r>
              <w:rPr>
                <w:rFonts w:ascii="宋体" w:hAnsi="宋体" w:cs="宋体"/>
                <w:color w:val="auto"/>
                <w:spacing w:val="6"/>
                <w:sz w:val="24"/>
                <w:szCs w:val="24"/>
                <w:highlight w:val="none"/>
              </w:rPr>
              <w:t>序</w:t>
            </w:r>
            <w:r>
              <w:rPr>
                <w:rFonts w:ascii="宋体" w:hAnsi="宋体" w:cs="宋体"/>
                <w:color w:val="auto"/>
                <w:spacing w:val="5"/>
                <w:sz w:val="24"/>
                <w:szCs w:val="24"/>
                <w:highlight w:val="none"/>
              </w:rPr>
              <w:t>号</w:t>
            </w:r>
          </w:p>
        </w:tc>
        <w:tc>
          <w:tcPr>
            <w:tcW w:w="1526" w:type="dxa"/>
            <w:noWrap w:val="0"/>
            <w:vAlign w:val="center"/>
          </w:tcPr>
          <w:p w14:paraId="26FC5163">
            <w:pPr>
              <w:jc w:val="center"/>
              <w:rPr>
                <w:color w:val="auto"/>
                <w:sz w:val="24"/>
                <w:szCs w:val="24"/>
                <w:highlight w:val="none"/>
              </w:rPr>
            </w:pPr>
            <w:r>
              <w:rPr>
                <w:rFonts w:ascii="宋体" w:hAnsi="宋体" w:cs="宋体"/>
                <w:color w:val="auto"/>
                <w:spacing w:val="9"/>
                <w:sz w:val="24"/>
                <w:szCs w:val="24"/>
                <w:highlight w:val="none"/>
              </w:rPr>
              <w:t>产</w:t>
            </w:r>
            <w:r>
              <w:rPr>
                <w:rFonts w:ascii="宋体" w:hAnsi="宋体" w:cs="宋体"/>
                <w:color w:val="auto"/>
                <w:spacing w:val="7"/>
                <w:sz w:val="24"/>
                <w:szCs w:val="24"/>
                <w:highlight w:val="none"/>
              </w:rPr>
              <w:t>品名称</w:t>
            </w:r>
          </w:p>
        </w:tc>
        <w:tc>
          <w:tcPr>
            <w:tcW w:w="1373" w:type="dxa"/>
            <w:noWrap w:val="0"/>
            <w:vAlign w:val="center"/>
          </w:tcPr>
          <w:p w14:paraId="01199EA2">
            <w:pPr>
              <w:jc w:val="center"/>
              <w:rPr>
                <w:color w:val="auto"/>
                <w:sz w:val="24"/>
                <w:szCs w:val="24"/>
                <w:highlight w:val="none"/>
              </w:rPr>
            </w:pPr>
            <w:r>
              <w:rPr>
                <w:rFonts w:ascii="宋体" w:hAnsi="宋体" w:cs="宋体"/>
                <w:color w:val="auto"/>
                <w:spacing w:val="8"/>
                <w:sz w:val="24"/>
                <w:szCs w:val="24"/>
                <w:highlight w:val="none"/>
              </w:rPr>
              <w:t>规</w:t>
            </w:r>
            <w:r>
              <w:rPr>
                <w:rFonts w:ascii="宋体" w:hAnsi="宋体" w:cs="宋体"/>
                <w:color w:val="auto"/>
                <w:spacing w:val="7"/>
                <w:sz w:val="24"/>
                <w:szCs w:val="24"/>
                <w:highlight w:val="none"/>
              </w:rPr>
              <w:t>格型号</w:t>
            </w:r>
          </w:p>
        </w:tc>
        <w:tc>
          <w:tcPr>
            <w:tcW w:w="1300" w:type="dxa"/>
            <w:noWrap w:val="0"/>
            <w:vAlign w:val="center"/>
          </w:tcPr>
          <w:p w14:paraId="0DF47CA0">
            <w:pPr>
              <w:jc w:val="center"/>
              <w:rPr>
                <w:color w:val="auto"/>
                <w:sz w:val="24"/>
                <w:szCs w:val="24"/>
                <w:highlight w:val="none"/>
              </w:rPr>
            </w:pPr>
            <w:r>
              <w:rPr>
                <w:rFonts w:ascii="宋体" w:hAnsi="宋体" w:cs="宋体"/>
                <w:color w:val="auto"/>
                <w:spacing w:val="-6"/>
                <w:sz w:val="24"/>
                <w:szCs w:val="24"/>
                <w:highlight w:val="none"/>
              </w:rPr>
              <w:t>品</w:t>
            </w:r>
            <w:r>
              <w:rPr>
                <w:rFonts w:ascii="宋体" w:hAnsi="宋体" w:cs="宋体"/>
                <w:color w:val="auto"/>
                <w:spacing w:val="-4"/>
                <w:sz w:val="24"/>
                <w:szCs w:val="24"/>
                <w:highlight w:val="none"/>
              </w:rPr>
              <w:t>牌</w:t>
            </w:r>
          </w:p>
        </w:tc>
        <w:tc>
          <w:tcPr>
            <w:tcW w:w="1500" w:type="dxa"/>
            <w:noWrap w:val="0"/>
            <w:vAlign w:val="center"/>
          </w:tcPr>
          <w:p w14:paraId="5E576D2E">
            <w:pPr>
              <w:jc w:val="center"/>
              <w:rPr>
                <w:color w:val="auto"/>
                <w:sz w:val="24"/>
                <w:szCs w:val="24"/>
                <w:highlight w:val="none"/>
              </w:rPr>
            </w:pPr>
            <w:r>
              <w:rPr>
                <w:rFonts w:ascii="宋体" w:hAnsi="宋体" w:cs="宋体"/>
                <w:color w:val="auto"/>
                <w:spacing w:val="4"/>
                <w:sz w:val="24"/>
                <w:szCs w:val="24"/>
                <w:highlight w:val="none"/>
              </w:rPr>
              <w:t>单位</w:t>
            </w:r>
          </w:p>
        </w:tc>
        <w:tc>
          <w:tcPr>
            <w:tcW w:w="1482" w:type="dxa"/>
            <w:noWrap w:val="0"/>
            <w:vAlign w:val="center"/>
          </w:tcPr>
          <w:p w14:paraId="27B0E5B2">
            <w:pPr>
              <w:jc w:val="center"/>
              <w:rPr>
                <w:color w:val="auto"/>
                <w:sz w:val="24"/>
                <w:szCs w:val="24"/>
                <w:highlight w:val="none"/>
              </w:rPr>
            </w:pPr>
            <w:r>
              <w:rPr>
                <w:rFonts w:ascii="宋体" w:hAnsi="宋体" w:cs="宋体"/>
                <w:color w:val="auto"/>
                <w:spacing w:val="4"/>
                <w:sz w:val="24"/>
                <w:szCs w:val="24"/>
                <w:highlight w:val="none"/>
              </w:rPr>
              <w:t>数量</w:t>
            </w:r>
          </w:p>
        </w:tc>
        <w:tc>
          <w:tcPr>
            <w:tcW w:w="1572" w:type="dxa"/>
            <w:noWrap w:val="0"/>
            <w:vAlign w:val="center"/>
          </w:tcPr>
          <w:p w14:paraId="7434DA33">
            <w:pPr>
              <w:jc w:val="center"/>
              <w:rPr>
                <w:color w:val="auto"/>
                <w:sz w:val="24"/>
                <w:szCs w:val="24"/>
                <w:highlight w:val="none"/>
              </w:rPr>
            </w:pPr>
            <w:r>
              <w:rPr>
                <w:rFonts w:ascii="宋体" w:hAnsi="宋体" w:cs="宋体"/>
                <w:color w:val="auto"/>
                <w:spacing w:val="4"/>
                <w:sz w:val="24"/>
                <w:szCs w:val="24"/>
                <w:highlight w:val="none"/>
              </w:rPr>
              <w:t>单价</w:t>
            </w:r>
            <w:r>
              <w:rPr>
                <w:rFonts w:hint="eastAsia" w:ascii="宋体" w:hAnsi="宋体" w:cs="宋体"/>
                <w:color w:val="auto"/>
                <w:spacing w:val="4"/>
                <w:sz w:val="24"/>
                <w:szCs w:val="24"/>
                <w:highlight w:val="none"/>
              </w:rPr>
              <w:t>(元</w:t>
            </w:r>
            <w:r>
              <w:rPr>
                <w:rFonts w:ascii="宋体" w:hAnsi="宋体" w:cs="宋体"/>
                <w:color w:val="auto"/>
                <w:spacing w:val="4"/>
                <w:sz w:val="24"/>
                <w:szCs w:val="24"/>
                <w:highlight w:val="none"/>
              </w:rPr>
              <w:t>)</w:t>
            </w:r>
          </w:p>
        </w:tc>
        <w:tc>
          <w:tcPr>
            <w:tcW w:w="1837" w:type="dxa"/>
            <w:noWrap w:val="0"/>
            <w:vAlign w:val="center"/>
          </w:tcPr>
          <w:p w14:paraId="27B9FE82">
            <w:pPr>
              <w:jc w:val="center"/>
              <w:rPr>
                <w:color w:val="auto"/>
                <w:sz w:val="24"/>
                <w:szCs w:val="24"/>
                <w:highlight w:val="none"/>
              </w:rPr>
            </w:pPr>
            <w:r>
              <w:rPr>
                <w:rFonts w:hint="eastAsia" w:ascii="宋体" w:hAnsi="宋体" w:cs="宋体"/>
                <w:color w:val="auto"/>
                <w:spacing w:val="4"/>
                <w:sz w:val="24"/>
                <w:szCs w:val="24"/>
                <w:highlight w:val="none"/>
              </w:rPr>
              <w:t>总价(元</w:t>
            </w:r>
            <w:r>
              <w:rPr>
                <w:rFonts w:ascii="宋体" w:hAnsi="宋体" w:cs="宋体"/>
                <w:color w:val="auto"/>
                <w:spacing w:val="4"/>
                <w:sz w:val="24"/>
                <w:szCs w:val="24"/>
                <w:highlight w:val="none"/>
              </w:rPr>
              <w:t>)</w:t>
            </w:r>
          </w:p>
        </w:tc>
        <w:tc>
          <w:tcPr>
            <w:tcW w:w="1281" w:type="dxa"/>
            <w:noWrap w:val="0"/>
            <w:vAlign w:val="center"/>
          </w:tcPr>
          <w:p w14:paraId="1E697D6B">
            <w:pPr>
              <w:jc w:val="center"/>
              <w:rPr>
                <w:color w:val="auto"/>
                <w:sz w:val="24"/>
                <w:szCs w:val="24"/>
                <w:highlight w:val="none"/>
              </w:rPr>
            </w:pPr>
            <w:r>
              <w:rPr>
                <w:rFonts w:ascii="宋体" w:hAnsi="宋体" w:cs="宋体"/>
                <w:color w:val="auto"/>
                <w:spacing w:val="4"/>
                <w:sz w:val="24"/>
                <w:szCs w:val="24"/>
                <w:highlight w:val="none"/>
              </w:rPr>
              <w:t>备</w:t>
            </w:r>
            <w:r>
              <w:rPr>
                <w:rFonts w:ascii="宋体" w:hAnsi="宋体" w:cs="宋体"/>
                <w:color w:val="auto"/>
                <w:spacing w:val="3"/>
                <w:sz w:val="24"/>
                <w:szCs w:val="24"/>
                <w:highlight w:val="none"/>
              </w:rPr>
              <w:t>注</w:t>
            </w:r>
          </w:p>
        </w:tc>
      </w:tr>
      <w:tr w14:paraId="3338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302" w:type="dxa"/>
            <w:noWrap w:val="0"/>
            <w:vAlign w:val="center"/>
          </w:tcPr>
          <w:p w14:paraId="71955657">
            <w:pPr>
              <w:jc w:val="center"/>
              <w:rPr>
                <w:color w:val="auto"/>
                <w:sz w:val="24"/>
                <w:szCs w:val="24"/>
                <w:highlight w:val="none"/>
              </w:rPr>
            </w:pPr>
          </w:p>
        </w:tc>
        <w:tc>
          <w:tcPr>
            <w:tcW w:w="1526" w:type="dxa"/>
            <w:noWrap w:val="0"/>
            <w:vAlign w:val="center"/>
          </w:tcPr>
          <w:p w14:paraId="4B1F903D">
            <w:pPr>
              <w:jc w:val="center"/>
              <w:rPr>
                <w:color w:val="auto"/>
                <w:sz w:val="24"/>
                <w:szCs w:val="24"/>
                <w:highlight w:val="none"/>
              </w:rPr>
            </w:pPr>
          </w:p>
        </w:tc>
        <w:tc>
          <w:tcPr>
            <w:tcW w:w="1373" w:type="dxa"/>
            <w:noWrap w:val="0"/>
            <w:vAlign w:val="center"/>
          </w:tcPr>
          <w:p w14:paraId="1CBA98AD">
            <w:pPr>
              <w:jc w:val="center"/>
              <w:rPr>
                <w:color w:val="auto"/>
                <w:sz w:val="24"/>
                <w:szCs w:val="24"/>
                <w:highlight w:val="none"/>
              </w:rPr>
            </w:pPr>
          </w:p>
        </w:tc>
        <w:tc>
          <w:tcPr>
            <w:tcW w:w="1300" w:type="dxa"/>
            <w:noWrap w:val="0"/>
            <w:vAlign w:val="center"/>
          </w:tcPr>
          <w:p w14:paraId="57C3A2FE">
            <w:pPr>
              <w:jc w:val="center"/>
              <w:rPr>
                <w:color w:val="auto"/>
                <w:sz w:val="24"/>
                <w:szCs w:val="24"/>
                <w:highlight w:val="none"/>
              </w:rPr>
            </w:pPr>
          </w:p>
        </w:tc>
        <w:tc>
          <w:tcPr>
            <w:tcW w:w="1500" w:type="dxa"/>
            <w:noWrap w:val="0"/>
            <w:vAlign w:val="center"/>
          </w:tcPr>
          <w:p w14:paraId="64FA7569">
            <w:pPr>
              <w:jc w:val="center"/>
              <w:rPr>
                <w:color w:val="auto"/>
                <w:sz w:val="24"/>
                <w:szCs w:val="24"/>
                <w:highlight w:val="none"/>
              </w:rPr>
            </w:pPr>
          </w:p>
        </w:tc>
        <w:tc>
          <w:tcPr>
            <w:tcW w:w="1482" w:type="dxa"/>
            <w:noWrap w:val="0"/>
            <w:vAlign w:val="center"/>
          </w:tcPr>
          <w:p w14:paraId="379D25F5">
            <w:pPr>
              <w:jc w:val="center"/>
              <w:rPr>
                <w:color w:val="auto"/>
                <w:sz w:val="24"/>
                <w:szCs w:val="24"/>
                <w:highlight w:val="none"/>
              </w:rPr>
            </w:pPr>
          </w:p>
        </w:tc>
        <w:tc>
          <w:tcPr>
            <w:tcW w:w="1572" w:type="dxa"/>
            <w:noWrap w:val="0"/>
            <w:vAlign w:val="center"/>
          </w:tcPr>
          <w:p w14:paraId="07F813B8">
            <w:pPr>
              <w:jc w:val="center"/>
              <w:rPr>
                <w:color w:val="auto"/>
                <w:sz w:val="24"/>
                <w:szCs w:val="24"/>
                <w:highlight w:val="none"/>
              </w:rPr>
            </w:pPr>
          </w:p>
        </w:tc>
        <w:tc>
          <w:tcPr>
            <w:tcW w:w="1837" w:type="dxa"/>
            <w:noWrap w:val="0"/>
            <w:vAlign w:val="center"/>
          </w:tcPr>
          <w:p w14:paraId="682D625F">
            <w:pPr>
              <w:jc w:val="center"/>
              <w:rPr>
                <w:color w:val="auto"/>
                <w:sz w:val="24"/>
                <w:szCs w:val="24"/>
                <w:highlight w:val="none"/>
              </w:rPr>
            </w:pPr>
          </w:p>
        </w:tc>
        <w:tc>
          <w:tcPr>
            <w:tcW w:w="1281" w:type="dxa"/>
            <w:noWrap w:val="0"/>
            <w:vAlign w:val="center"/>
          </w:tcPr>
          <w:p w14:paraId="2EBB4777">
            <w:pPr>
              <w:jc w:val="center"/>
              <w:rPr>
                <w:color w:val="auto"/>
                <w:sz w:val="24"/>
                <w:szCs w:val="24"/>
                <w:highlight w:val="none"/>
              </w:rPr>
            </w:pPr>
          </w:p>
        </w:tc>
      </w:tr>
      <w:tr w14:paraId="3D00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302" w:type="dxa"/>
            <w:noWrap w:val="0"/>
            <w:vAlign w:val="center"/>
          </w:tcPr>
          <w:p w14:paraId="00FCE37F">
            <w:pPr>
              <w:jc w:val="center"/>
              <w:rPr>
                <w:color w:val="auto"/>
                <w:sz w:val="24"/>
                <w:szCs w:val="24"/>
                <w:highlight w:val="none"/>
              </w:rPr>
            </w:pPr>
          </w:p>
        </w:tc>
        <w:tc>
          <w:tcPr>
            <w:tcW w:w="1526" w:type="dxa"/>
            <w:noWrap w:val="0"/>
            <w:vAlign w:val="center"/>
          </w:tcPr>
          <w:p w14:paraId="723710A6">
            <w:pPr>
              <w:jc w:val="center"/>
              <w:rPr>
                <w:color w:val="auto"/>
                <w:sz w:val="24"/>
                <w:szCs w:val="24"/>
                <w:highlight w:val="none"/>
              </w:rPr>
            </w:pPr>
          </w:p>
        </w:tc>
        <w:tc>
          <w:tcPr>
            <w:tcW w:w="1373" w:type="dxa"/>
            <w:noWrap w:val="0"/>
            <w:vAlign w:val="center"/>
          </w:tcPr>
          <w:p w14:paraId="405D24FF">
            <w:pPr>
              <w:jc w:val="center"/>
              <w:rPr>
                <w:color w:val="auto"/>
                <w:sz w:val="24"/>
                <w:szCs w:val="24"/>
                <w:highlight w:val="none"/>
              </w:rPr>
            </w:pPr>
          </w:p>
        </w:tc>
        <w:tc>
          <w:tcPr>
            <w:tcW w:w="1300" w:type="dxa"/>
            <w:noWrap w:val="0"/>
            <w:vAlign w:val="center"/>
          </w:tcPr>
          <w:p w14:paraId="18B537F7">
            <w:pPr>
              <w:jc w:val="center"/>
              <w:rPr>
                <w:color w:val="auto"/>
                <w:sz w:val="24"/>
                <w:szCs w:val="24"/>
                <w:highlight w:val="none"/>
              </w:rPr>
            </w:pPr>
          </w:p>
        </w:tc>
        <w:tc>
          <w:tcPr>
            <w:tcW w:w="1500" w:type="dxa"/>
            <w:noWrap w:val="0"/>
            <w:vAlign w:val="center"/>
          </w:tcPr>
          <w:p w14:paraId="59E0F0EE">
            <w:pPr>
              <w:jc w:val="center"/>
              <w:rPr>
                <w:color w:val="auto"/>
                <w:sz w:val="24"/>
                <w:szCs w:val="24"/>
                <w:highlight w:val="none"/>
              </w:rPr>
            </w:pPr>
          </w:p>
        </w:tc>
        <w:tc>
          <w:tcPr>
            <w:tcW w:w="1482" w:type="dxa"/>
            <w:noWrap w:val="0"/>
            <w:vAlign w:val="center"/>
          </w:tcPr>
          <w:p w14:paraId="4DC38002">
            <w:pPr>
              <w:jc w:val="center"/>
              <w:rPr>
                <w:color w:val="auto"/>
                <w:sz w:val="24"/>
                <w:szCs w:val="24"/>
                <w:highlight w:val="none"/>
              </w:rPr>
            </w:pPr>
          </w:p>
        </w:tc>
        <w:tc>
          <w:tcPr>
            <w:tcW w:w="1572" w:type="dxa"/>
            <w:noWrap w:val="0"/>
            <w:vAlign w:val="center"/>
          </w:tcPr>
          <w:p w14:paraId="0F8F1921">
            <w:pPr>
              <w:jc w:val="center"/>
              <w:rPr>
                <w:color w:val="auto"/>
                <w:sz w:val="24"/>
                <w:szCs w:val="24"/>
                <w:highlight w:val="none"/>
              </w:rPr>
            </w:pPr>
          </w:p>
        </w:tc>
        <w:tc>
          <w:tcPr>
            <w:tcW w:w="1837" w:type="dxa"/>
            <w:noWrap w:val="0"/>
            <w:vAlign w:val="center"/>
          </w:tcPr>
          <w:p w14:paraId="5C56328A">
            <w:pPr>
              <w:jc w:val="center"/>
              <w:rPr>
                <w:color w:val="auto"/>
                <w:sz w:val="24"/>
                <w:szCs w:val="24"/>
                <w:highlight w:val="none"/>
              </w:rPr>
            </w:pPr>
          </w:p>
        </w:tc>
        <w:tc>
          <w:tcPr>
            <w:tcW w:w="1281" w:type="dxa"/>
            <w:noWrap w:val="0"/>
            <w:vAlign w:val="center"/>
          </w:tcPr>
          <w:p w14:paraId="1B39AEF9">
            <w:pPr>
              <w:jc w:val="center"/>
              <w:rPr>
                <w:color w:val="auto"/>
                <w:sz w:val="24"/>
                <w:szCs w:val="24"/>
                <w:highlight w:val="none"/>
              </w:rPr>
            </w:pPr>
          </w:p>
        </w:tc>
      </w:tr>
      <w:tr w14:paraId="075A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1302" w:type="dxa"/>
            <w:noWrap w:val="0"/>
            <w:vAlign w:val="center"/>
          </w:tcPr>
          <w:p w14:paraId="5B7DAD5F">
            <w:pPr>
              <w:rPr>
                <w:color w:val="auto"/>
                <w:sz w:val="24"/>
                <w:szCs w:val="24"/>
                <w:highlight w:val="none"/>
              </w:rPr>
            </w:pPr>
          </w:p>
        </w:tc>
        <w:tc>
          <w:tcPr>
            <w:tcW w:w="8753" w:type="dxa"/>
            <w:gridSpan w:val="6"/>
            <w:noWrap w:val="0"/>
            <w:vAlign w:val="center"/>
          </w:tcPr>
          <w:p w14:paraId="06816DAD">
            <w:pPr>
              <w:rPr>
                <w:color w:val="auto"/>
                <w:sz w:val="24"/>
                <w:szCs w:val="24"/>
                <w:highlight w:val="none"/>
              </w:rPr>
            </w:pPr>
            <w:r>
              <w:rPr>
                <w:rFonts w:ascii="宋体" w:hAnsi="宋体" w:cs="宋体"/>
                <w:color w:val="auto"/>
                <w:spacing w:val="2"/>
                <w:sz w:val="24"/>
                <w:szCs w:val="24"/>
                <w:highlight w:val="none"/>
              </w:rPr>
              <w:t>分项报价合计 (元) ：</w:t>
            </w:r>
            <w:r>
              <w:rPr>
                <w:rFonts w:ascii="宋体" w:hAnsi="宋体" w:cs="宋体"/>
                <w:color w:val="auto"/>
                <w:spacing w:val="1"/>
                <w:sz w:val="24"/>
                <w:szCs w:val="24"/>
                <w:highlight w:val="none"/>
              </w:rPr>
              <w:t xml:space="preserve">        大写：</w:t>
            </w:r>
          </w:p>
        </w:tc>
        <w:tc>
          <w:tcPr>
            <w:tcW w:w="1837" w:type="dxa"/>
            <w:noWrap w:val="0"/>
            <w:vAlign w:val="center"/>
          </w:tcPr>
          <w:p w14:paraId="26452BE5">
            <w:pPr>
              <w:rPr>
                <w:color w:val="auto"/>
                <w:sz w:val="24"/>
                <w:szCs w:val="24"/>
                <w:highlight w:val="none"/>
              </w:rPr>
            </w:pPr>
          </w:p>
        </w:tc>
        <w:tc>
          <w:tcPr>
            <w:tcW w:w="1281" w:type="dxa"/>
            <w:noWrap w:val="0"/>
            <w:vAlign w:val="center"/>
          </w:tcPr>
          <w:p w14:paraId="2FC67E09">
            <w:pPr>
              <w:rPr>
                <w:color w:val="auto"/>
                <w:sz w:val="24"/>
                <w:szCs w:val="24"/>
                <w:highlight w:val="none"/>
              </w:rPr>
            </w:pPr>
          </w:p>
        </w:tc>
      </w:tr>
    </w:tbl>
    <w:p w14:paraId="7002D9B4">
      <w:pPr>
        <w:spacing w:line="240" w:lineRule="atLeast"/>
        <w:ind w:left="480"/>
        <w:rPr>
          <w:rFonts w:ascii="宋体" w:hAnsi="宋体" w:cs="宋体"/>
          <w:color w:val="auto"/>
          <w:sz w:val="24"/>
          <w:szCs w:val="24"/>
          <w:highlight w:val="none"/>
        </w:rPr>
      </w:pPr>
      <w:r>
        <w:rPr>
          <w:rFonts w:ascii="宋体" w:hAnsi="宋体" w:cs="宋体"/>
          <w:color w:val="auto"/>
          <w:spacing w:val="16"/>
          <w:sz w:val="24"/>
          <w:szCs w:val="24"/>
          <w:highlight w:val="none"/>
        </w:rPr>
        <w:t>注</w:t>
      </w:r>
      <w:r>
        <w:rPr>
          <w:rFonts w:ascii="宋体" w:hAnsi="宋体" w:cs="宋体"/>
          <w:color w:val="auto"/>
          <w:spacing w:val="14"/>
          <w:sz w:val="24"/>
          <w:szCs w:val="24"/>
          <w:highlight w:val="none"/>
        </w:rPr>
        <w:t>：</w:t>
      </w:r>
      <w:r>
        <w:rPr>
          <w:rFonts w:ascii="宋体" w:hAnsi="宋体" w:cs="宋体"/>
          <w:color w:val="auto"/>
          <w:spacing w:val="8"/>
          <w:sz w:val="24"/>
          <w:szCs w:val="24"/>
          <w:highlight w:val="none"/>
        </w:rPr>
        <w:t>1、投标人必须按“分项报价明细表”的格式详细报出投标总价的各个组成部分</w:t>
      </w:r>
      <w:r>
        <w:rPr>
          <w:rFonts w:ascii="宋体" w:hAnsi="宋体" w:cs="宋体"/>
          <w:color w:val="auto"/>
          <w:sz w:val="24"/>
          <w:szCs w:val="24"/>
          <w:highlight w:val="none"/>
        </w:rPr>
        <w:t>的报价。</w:t>
      </w:r>
    </w:p>
    <w:p w14:paraId="36C4907D">
      <w:pPr>
        <w:spacing w:line="240" w:lineRule="atLeast"/>
        <w:ind w:left="963"/>
        <w:outlineLvl w:val="1"/>
        <w:rPr>
          <w:rFonts w:ascii="宋体" w:hAnsi="宋体" w:cs="宋体"/>
          <w:color w:val="auto"/>
          <w:sz w:val="24"/>
          <w:szCs w:val="24"/>
          <w:highlight w:val="none"/>
        </w:rPr>
      </w:pPr>
      <w:bookmarkStart w:id="68" w:name="_Toc29378"/>
      <w:bookmarkStart w:id="69" w:name="_Toc12127"/>
      <w:r>
        <w:rPr>
          <w:rFonts w:ascii="宋体" w:hAnsi="宋体" w:cs="宋体"/>
          <w:color w:val="auto"/>
          <w:spacing w:val="16"/>
          <w:position w:val="1"/>
          <w:sz w:val="24"/>
          <w:szCs w:val="24"/>
          <w:highlight w:val="none"/>
        </w:rPr>
        <w:t>2</w:t>
      </w:r>
      <w:r>
        <w:rPr>
          <w:rFonts w:ascii="宋体" w:hAnsi="宋体" w:cs="宋体"/>
          <w:color w:val="auto"/>
          <w:spacing w:val="9"/>
          <w:position w:val="1"/>
          <w:sz w:val="24"/>
          <w:szCs w:val="24"/>
          <w:highlight w:val="none"/>
        </w:rPr>
        <w:t>、“分项报价明细表”各分项报价合计应当与“开标一览表”报价合计相等。</w:t>
      </w:r>
      <w:bookmarkEnd w:id="68"/>
      <w:bookmarkEnd w:id="69"/>
    </w:p>
    <w:p w14:paraId="78238DB0">
      <w:pPr>
        <w:spacing w:line="240" w:lineRule="atLeast"/>
        <w:ind w:left="965"/>
        <w:outlineLvl w:val="1"/>
        <w:rPr>
          <w:rFonts w:ascii="宋体" w:hAnsi="宋体" w:cs="宋体"/>
          <w:color w:val="auto"/>
          <w:spacing w:val="7"/>
          <w:position w:val="1"/>
          <w:sz w:val="24"/>
          <w:szCs w:val="24"/>
          <w:highlight w:val="none"/>
        </w:rPr>
      </w:pPr>
      <w:bookmarkStart w:id="70" w:name="_Toc6560"/>
      <w:bookmarkStart w:id="71" w:name="_Toc24475"/>
      <w:r>
        <w:rPr>
          <w:rFonts w:ascii="宋体" w:hAnsi="宋体" w:cs="宋体"/>
          <w:color w:val="auto"/>
          <w:spacing w:val="7"/>
          <w:position w:val="1"/>
          <w:sz w:val="24"/>
          <w:szCs w:val="24"/>
          <w:highlight w:val="none"/>
        </w:rPr>
        <w:t>3、需按此格式填写。</w:t>
      </w:r>
      <w:bookmarkEnd w:id="70"/>
      <w:bookmarkEnd w:id="71"/>
    </w:p>
    <w:p w14:paraId="4A2D0693">
      <w:pPr>
        <w:pStyle w:val="2"/>
      </w:pPr>
    </w:p>
    <w:p w14:paraId="22F5ABCF">
      <w:pPr>
        <w:spacing w:line="400" w:lineRule="exact"/>
        <w:rPr>
          <w:rFonts w:ascii="宋体" w:hAnsi="宋体" w:cs="宋体"/>
          <w:color w:val="auto"/>
          <w:sz w:val="24"/>
          <w:szCs w:val="24"/>
          <w:highlight w:val="none"/>
        </w:rPr>
      </w:pPr>
    </w:p>
    <w:p w14:paraId="674813C5">
      <w:pPr>
        <w:spacing w:line="43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供应商盖章：</w:t>
      </w:r>
    </w:p>
    <w:p w14:paraId="28DB4FA8">
      <w:pPr>
        <w:jc w:val="left"/>
        <w:rPr>
          <w:rFonts w:hint="eastAsia" w:ascii="宋体" w:hAnsi="宋体" w:eastAsia="宋体" w:cs="宋体"/>
          <w:highlight w:val="none"/>
        </w:rPr>
      </w:pPr>
      <w:r>
        <w:rPr>
          <w:rFonts w:hint="eastAsia" w:ascii="宋体" w:hAnsi="宋体" w:eastAsia="宋体" w:cs="宋体"/>
          <w:sz w:val="24"/>
          <w:szCs w:val="24"/>
          <w:highlight w:val="none"/>
        </w:rPr>
        <w:t>日期：年 月 日</w:t>
      </w:r>
      <w:bookmarkEnd w:id="65"/>
    </w:p>
    <w:p w14:paraId="5744D576">
      <w:pPr>
        <w:rPr>
          <w:rFonts w:hint="eastAsia" w:ascii="宋体" w:hAnsi="宋体" w:eastAsia="宋体" w:cs="宋体"/>
          <w:highlight w:val="none"/>
        </w:rPr>
      </w:pPr>
    </w:p>
    <w:p w14:paraId="5481BA46">
      <w:pPr>
        <w:pStyle w:val="5"/>
        <w:spacing w:before="0" w:after="0" w:line="460" w:lineRule="exact"/>
        <w:rPr>
          <w:rFonts w:hint="eastAsia" w:ascii="宋体" w:hAnsi="宋体" w:eastAsia="宋体" w:cs="宋体"/>
          <w:sz w:val="24"/>
          <w:highlight w:val="none"/>
        </w:rPr>
        <w:sectPr>
          <w:footerReference r:id="rId7" w:type="default"/>
          <w:footerReference r:id="rId8" w:type="even"/>
          <w:pgSz w:w="16840" w:h="11907" w:orient="landscape"/>
          <w:pgMar w:top="1134" w:right="1474" w:bottom="1814" w:left="1474" w:header="720" w:footer="720" w:gutter="0"/>
          <w:pgBorders>
            <w:top w:val="none" w:sz="0" w:space="0"/>
            <w:left w:val="none" w:sz="0" w:space="0"/>
            <w:bottom w:val="none" w:sz="0" w:space="0"/>
            <w:right w:val="none" w:sz="0" w:space="0"/>
          </w:pgBorders>
          <w:cols w:space="720" w:num="1"/>
          <w:docGrid w:linePitch="285" w:charSpace="0"/>
        </w:sectPr>
      </w:pPr>
    </w:p>
    <w:p w14:paraId="7FAF4A06">
      <w:pPr>
        <w:pStyle w:val="42"/>
        <w:spacing w:before="312"/>
        <w:rPr>
          <w:rFonts w:hint="eastAsia" w:ascii="宋体" w:hAnsi="宋体" w:eastAsia="宋体" w:cs="宋体"/>
          <w:highlight w:val="none"/>
        </w:rPr>
      </w:pPr>
      <w:bookmarkStart w:id="72" w:name="_Toc505076481"/>
      <w:bookmarkStart w:id="73" w:name="_Toc24622"/>
      <w:r>
        <w:rPr>
          <w:rFonts w:hint="eastAsia" w:ascii="宋体" w:hAnsi="宋体" w:eastAsia="宋体" w:cs="宋体"/>
          <w:highlight w:val="none"/>
        </w:rPr>
        <w:t>格式</w:t>
      </w:r>
      <w:r>
        <w:rPr>
          <w:rFonts w:hint="eastAsia" w:ascii="宋体" w:hAnsi="宋体" w:eastAsia="宋体" w:cs="宋体"/>
          <w:highlight w:val="none"/>
          <w:lang w:val="en-US" w:eastAsia="zh-CN"/>
        </w:rPr>
        <w:t>4</w:t>
      </w:r>
      <w:r>
        <w:rPr>
          <w:rFonts w:hint="eastAsia" w:ascii="宋体" w:hAnsi="宋体" w:eastAsia="宋体" w:cs="宋体"/>
          <w:highlight w:val="none"/>
        </w:rPr>
        <w:t xml:space="preserve">. </w:t>
      </w:r>
      <w:bookmarkEnd w:id="72"/>
      <w:r>
        <w:rPr>
          <w:rFonts w:hint="eastAsia" w:ascii="宋体" w:hAnsi="宋体" w:eastAsia="宋体" w:cs="宋体"/>
          <w:highlight w:val="none"/>
        </w:rPr>
        <w:t>技术规格响应/偏离表</w:t>
      </w:r>
      <w:bookmarkEnd w:id="73"/>
    </w:p>
    <w:p w14:paraId="12962607">
      <w:pPr>
        <w:rPr>
          <w:rFonts w:hint="eastAsia" w:ascii="宋体" w:hAnsi="宋体" w:eastAsia="宋体" w:cs="宋体"/>
          <w:highlight w:val="none"/>
        </w:rPr>
      </w:pPr>
    </w:p>
    <w:p w14:paraId="49DB62D8">
      <w:pPr>
        <w:rPr>
          <w:rFonts w:hint="eastAsia" w:ascii="宋体" w:hAnsi="宋体" w:eastAsia="宋体" w:cs="宋体"/>
          <w:highlight w:val="none"/>
        </w:rPr>
      </w:pPr>
      <w:bookmarkStart w:id="74" w:name="_Toc505076482"/>
      <w:r>
        <w:rPr>
          <w:rFonts w:hint="eastAsia" w:ascii="宋体" w:hAnsi="宋体" w:eastAsia="宋体" w:cs="宋体"/>
          <w:highlight w:val="none"/>
        </w:rPr>
        <w:t>项目编号：</w:t>
      </w:r>
      <w:bookmarkEnd w:id="74"/>
    </w:p>
    <w:tbl>
      <w:tblPr>
        <w:tblStyle w:val="17"/>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14:paraId="1CFF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8550" w:type="dxa"/>
            <w:gridSpan w:val="6"/>
            <w:vAlign w:val="center"/>
          </w:tcPr>
          <w:p w14:paraId="7ABEB1F3">
            <w:pPr>
              <w:spacing w:line="288" w:lineRule="auto"/>
              <w:rPr>
                <w:rFonts w:hint="eastAsia" w:ascii="宋体" w:hAnsi="宋体" w:eastAsia="宋体" w:cs="宋体"/>
                <w:sz w:val="24"/>
                <w:highlight w:val="none"/>
              </w:rPr>
            </w:pPr>
            <w:r>
              <w:rPr>
                <w:rFonts w:hint="eastAsia" w:ascii="宋体" w:hAnsi="宋体" w:eastAsia="宋体" w:cs="宋体"/>
                <w:sz w:val="24"/>
                <w:highlight w:val="none"/>
              </w:rPr>
              <w:t>我公司郑重承诺，完全响应竞争性谈判文件规定的所有技术需求要求，并按规定的技术参数要求进行履约。</w:t>
            </w:r>
          </w:p>
        </w:tc>
      </w:tr>
      <w:tr w14:paraId="68BF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8550" w:type="dxa"/>
            <w:gridSpan w:val="6"/>
            <w:vAlign w:val="center"/>
          </w:tcPr>
          <w:p w14:paraId="4276209D">
            <w:pPr>
              <w:spacing w:line="288" w:lineRule="auto"/>
              <w:rPr>
                <w:rFonts w:hint="eastAsia" w:ascii="宋体" w:hAnsi="宋体" w:eastAsia="宋体" w:cs="宋体"/>
                <w:sz w:val="24"/>
                <w:highlight w:val="none"/>
              </w:rPr>
            </w:pPr>
            <w:r>
              <w:rPr>
                <w:rFonts w:hint="eastAsia" w:ascii="宋体" w:hAnsi="宋体" w:eastAsia="宋体" w:cs="宋体"/>
                <w:sz w:val="24"/>
                <w:highlight w:val="none"/>
              </w:rPr>
              <w:t>说明：若响应的部分技术需求与竞争性谈判文件规定的技术需求要求有偏离，则按下表列出，并标明响应情况，若完全响应，则无需填写下表。只接受正偏离（优于竞争性谈判文件要求） ，不接受负偏离（劣于竞争性谈判文件要求） ，负偏离则无效响应。</w:t>
            </w:r>
          </w:p>
        </w:tc>
      </w:tr>
      <w:tr w14:paraId="5B5F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vAlign w:val="center"/>
          </w:tcPr>
          <w:p w14:paraId="7584EF88">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704" w:type="dxa"/>
            <w:vAlign w:val="center"/>
          </w:tcPr>
          <w:p w14:paraId="6D29EC4A">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谈判文件条目号</w:t>
            </w:r>
          </w:p>
        </w:tc>
        <w:tc>
          <w:tcPr>
            <w:tcW w:w="2346" w:type="dxa"/>
            <w:vAlign w:val="center"/>
          </w:tcPr>
          <w:p w14:paraId="44A03653">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谈判文件技术需求要求</w:t>
            </w:r>
          </w:p>
        </w:tc>
        <w:tc>
          <w:tcPr>
            <w:tcW w:w="1620" w:type="dxa"/>
            <w:vAlign w:val="center"/>
          </w:tcPr>
          <w:p w14:paraId="2C79E13E">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技术需求响应内容</w:t>
            </w:r>
          </w:p>
        </w:tc>
        <w:tc>
          <w:tcPr>
            <w:tcW w:w="920" w:type="dxa"/>
            <w:vAlign w:val="center"/>
          </w:tcPr>
          <w:p w14:paraId="3DF905FE">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响应/偏离</w:t>
            </w:r>
          </w:p>
        </w:tc>
        <w:tc>
          <w:tcPr>
            <w:tcW w:w="1222" w:type="dxa"/>
            <w:vAlign w:val="center"/>
          </w:tcPr>
          <w:p w14:paraId="7BC3BE7E">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说明</w:t>
            </w:r>
          </w:p>
        </w:tc>
      </w:tr>
      <w:tr w14:paraId="71B5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112459C2">
            <w:pPr>
              <w:spacing w:line="432" w:lineRule="auto"/>
              <w:rPr>
                <w:rFonts w:hint="eastAsia" w:ascii="宋体" w:hAnsi="宋体" w:eastAsia="宋体" w:cs="宋体"/>
                <w:sz w:val="24"/>
                <w:highlight w:val="none"/>
              </w:rPr>
            </w:pPr>
          </w:p>
        </w:tc>
        <w:tc>
          <w:tcPr>
            <w:tcW w:w="1704" w:type="dxa"/>
          </w:tcPr>
          <w:p w14:paraId="7A55E83A">
            <w:pPr>
              <w:spacing w:line="432" w:lineRule="auto"/>
              <w:rPr>
                <w:rFonts w:hint="eastAsia" w:ascii="宋体" w:hAnsi="宋体" w:eastAsia="宋体" w:cs="宋体"/>
                <w:sz w:val="24"/>
                <w:highlight w:val="none"/>
              </w:rPr>
            </w:pPr>
          </w:p>
        </w:tc>
        <w:tc>
          <w:tcPr>
            <w:tcW w:w="2346" w:type="dxa"/>
          </w:tcPr>
          <w:p w14:paraId="20F94926">
            <w:pPr>
              <w:spacing w:line="432" w:lineRule="auto"/>
              <w:rPr>
                <w:rFonts w:hint="eastAsia" w:ascii="宋体" w:hAnsi="宋体" w:eastAsia="宋体" w:cs="宋体"/>
                <w:sz w:val="24"/>
                <w:highlight w:val="none"/>
              </w:rPr>
            </w:pPr>
          </w:p>
        </w:tc>
        <w:tc>
          <w:tcPr>
            <w:tcW w:w="1620" w:type="dxa"/>
          </w:tcPr>
          <w:p w14:paraId="4805C763">
            <w:pPr>
              <w:spacing w:line="432" w:lineRule="auto"/>
              <w:rPr>
                <w:rFonts w:hint="eastAsia" w:ascii="宋体" w:hAnsi="宋体" w:eastAsia="宋体" w:cs="宋体"/>
                <w:sz w:val="24"/>
                <w:highlight w:val="none"/>
              </w:rPr>
            </w:pPr>
          </w:p>
        </w:tc>
        <w:tc>
          <w:tcPr>
            <w:tcW w:w="920" w:type="dxa"/>
          </w:tcPr>
          <w:p w14:paraId="0A167A3B">
            <w:pPr>
              <w:spacing w:line="432" w:lineRule="auto"/>
              <w:rPr>
                <w:rFonts w:hint="eastAsia" w:ascii="宋体" w:hAnsi="宋体" w:eastAsia="宋体" w:cs="宋体"/>
                <w:sz w:val="24"/>
                <w:highlight w:val="none"/>
              </w:rPr>
            </w:pPr>
          </w:p>
        </w:tc>
        <w:tc>
          <w:tcPr>
            <w:tcW w:w="1222" w:type="dxa"/>
          </w:tcPr>
          <w:p w14:paraId="04EFB65F">
            <w:pPr>
              <w:spacing w:line="432" w:lineRule="auto"/>
              <w:rPr>
                <w:rFonts w:hint="eastAsia" w:ascii="宋体" w:hAnsi="宋体" w:eastAsia="宋体" w:cs="宋体"/>
                <w:sz w:val="24"/>
                <w:highlight w:val="none"/>
              </w:rPr>
            </w:pPr>
          </w:p>
        </w:tc>
      </w:tr>
      <w:tr w14:paraId="25BE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15E816CD">
            <w:pPr>
              <w:spacing w:line="432" w:lineRule="auto"/>
              <w:rPr>
                <w:rFonts w:hint="eastAsia" w:ascii="宋体" w:hAnsi="宋体" w:eastAsia="宋体" w:cs="宋体"/>
                <w:sz w:val="24"/>
                <w:highlight w:val="none"/>
              </w:rPr>
            </w:pPr>
          </w:p>
        </w:tc>
        <w:tc>
          <w:tcPr>
            <w:tcW w:w="1704" w:type="dxa"/>
          </w:tcPr>
          <w:p w14:paraId="7CC52E4B">
            <w:pPr>
              <w:spacing w:line="432" w:lineRule="auto"/>
              <w:rPr>
                <w:rFonts w:hint="eastAsia" w:ascii="宋体" w:hAnsi="宋体" w:eastAsia="宋体" w:cs="宋体"/>
                <w:sz w:val="24"/>
                <w:highlight w:val="none"/>
              </w:rPr>
            </w:pPr>
          </w:p>
        </w:tc>
        <w:tc>
          <w:tcPr>
            <w:tcW w:w="2346" w:type="dxa"/>
          </w:tcPr>
          <w:p w14:paraId="1BCC5B2C">
            <w:pPr>
              <w:spacing w:line="432" w:lineRule="auto"/>
              <w:rPr>
                <w:rFonts w:hint="eastAsia" w:ascii="宋体" w:hAnsi="宋体" w:eastAsia="宋体" w:cs="宋体"/>
                <w:sz w:val="24"/>
                <w:highlight w:val="none"/>
              </w:rPr>
            </w:pPr>
          </w:p>
        </w:tc>
        <w:tc>
          <w:tcPr>
            <w:tcW w:w="1620" w:type="dxa"/>
          </w:tcPr>
          <w:p w14:paraId="770150DF">
            <w:pPr>
              <w:spacing w:line="432" w:lineRule="auto"/>
              <w:rPr>
                <w:rFonts w:hint="eastAsia" w:ascii="宋体" w:hAnsi="宋体" w:eastAsia="宋体" w:cs="宋体"/>
                <w:sz w:val="24"/>
                <w:highlight w:val="none"/>
              </w:rPr>
            </w:pPr>
          </w:p>
        </w:tc>
        <w:tc>
          <w:tcPr>
            <w:tcW w:w="920" w:type="dxa"/>
          </w:tcPr>
          <w:p w14:paraId="43562619">
            <w:pPr>
              <w:spacing w:line="432" w:lineRule="auto"/>
              <w:rPr>
                <w:rFonts w:hint="eastAsia" w:ascii="宋体" w:hAnsi="宋体" w:eastAsia="宋体" w:cs="宋体"/>
                <w:sz w:val="24"/>
                <w:highlight w:val="none"/>
              </w:rPr>
            </w:pPr>
          </w:p>
        </w:tc>
        <w:tc>
          <w:tcPr>
            <w:tcW w:w="1222" w:type="dxa"/>
          </w:tcPr>
          <w:p w14:paraId="4B3C3CA8">
            <w:pPr>
              <w:spacing w:line="432" w:lineRule="auto"/>
              <w:rPr>
                <w:rFonts w:hint="eastAsia" w:ascii="宋体" w:hAnsi="宋体" w:eastAsia="宋体" w:cs="宋体"/>
                <w:sz w:val="24"/>
                <w:highlight w:val="none"/>
              </w:rPr>
            </w:pPr>
          </w:p>
        </w:tc>
      </w:tr>
      <w:tr w14:paraId="54DF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21913A91">
            <w:pPr>
              <w:spacing w:line="432" w:lineRule="auto"/>
              <w:rPr>
                <w:rFonts w:hint="eastAsia" w:ascii="宋体" w:hAnsi="宋体" w:eastAsia="宋体" w:cs="宋体"/>
                <w:sz w:val="24"/>
                <w:highlight w:val="none"/>
              </w:rPr>
            </w:pPr>
          </w:p>
        </w:tc>
        <w:tc>
          <w:tcPr>
            <w:tcW w:w="1704" w:type="dxa"/>
          </w:tcPr>
          <w:p w14:paraId="623BFEF1">
            <w:pPr>
              <w:spacing w:line="432" w:lineRule="auto"/>
              <w:rPr>
                <w:rFonts w:hint="eastAsia" w:ascii="宋体" w:hAnsi="宋体" w:eastAsia="宋体" w:cs="宋体"/>
                <w:sz w:val="24"/>
                <w:highlight w:val="none"/>
              </w:rPr>
            </w:pPr>
          </w:p>
        </w:tc>
        <w:tc>
          <w:tcPr>
            <w:tcW w:w="2346" w:type="dxa"/>
          </w:tcPr>
          <w:p w14:paraId="24753B8C">
            <w:pPr>
              <w:spacing w:line="432" w:lineRule="auto"/>
              <w:rPr>
                <w:rFonts w:hint="eastAsia" w:ascii="宋体" w:hAnsi="宋体" w:eastAsia="宋体" w:cs="宋体"/>
                <w:sz w:val="24"/>
                <w:highlight w:val="none"/>
              </w:rPr>
            </w:pPr>
          </w:p>
        </w:tc>
        <w:tc>
          <w:tcPr>
            <w:tcW w:w="1620" w:type="dxa"/>
          </w:tcPr>
          <w:p w14:paraId="08AA1B58">
            <w:pPr>
              <w:spacing w:line="432" w:lineRule="auto"/>
              <w:rPr>
                <w:rFonts w:hint="eastAsia" w:ascii="宋体" w:hAnsi="宋体" w:eastAsia="宋体" w:cs="宋体"/>
                <w:sz w:val="24"/>
                <w:highlight w:val="none"/>
              </w:rPr>
            </w:pPr>
          </w:p>
        </w:tc>
        <w:tc>
          <w:tcPr>
            <w:tcW w:w="920" w:type="dxa"/>
          </w:tcPr>
          <w:p w14:paraId="38BC054D">
            <w:pPr>
              <w:spacing w:line="432" w:lineRule="auto"/>
              <w:rPr>
                <w:rFonts w:hint="eastAsia" w:ascii="宋体" w:hAnsi="宋体" w:eastAsia="宋体" w:cs="宋体"/>
                <w:sz w:val="24"/>
                <w:highlight w:val="none"/>
              </w:rPr>
            </w:pPr>
          </w:p>
        </w:tc>
        <w:tc>
          <w:tcPr>
            <w:tcW w:w="1222" w:type="dxa"/>
          </w:tcPr>
          <w:p w14:paraId="11F1245E">
            <w:pPr>
              <w:spacing w:line="432" w:lineRule="auto"/>
              <w:rPr>
                <w:rFonts w:hint="eastAsia" w:ascii="宋体" w:hAnsi="宋体" w:eastAsia="宋体" w:cs="宋体"/>
                <w:sz w:val="24"/>
                <w:highlight w:val="none"/>
              </w:rPr>
            </w:pPr>
          </w:p>
        </w:tc>
      </w:tr>
      <w:tr w14:paraId="3E31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43620DA1">
            <w:pPr>
              <w:spacing w:line="432" w:lineRule="auto"/>
              <w:rPr>
                <w:rFonts w:hint="eastAsia" w:ascii="宋体" w:hAnsi="宋体" w:eastAsia="宋体" w:cs="宋体"/>
                <w:sz w:val="24"/>
                <w:highlight w:val="none"/>
              </w:rPr>
            </w:pPr>
          </w:p>
        </w:tc>
        <w:tc>
          <w:tcPr>
            <w:tcW w:w="1704" w:type="dxa"/>
          </w:tcPr>
          <w:p w14:paraId="3FE820B8">
            <w:pPr>
              <w:spacing w:line="432" w:lineRule="auto"/>
              <w:rPr>
                <w:rFonts w:hint="eastAsia" w:ascii="宋体" w:hAnsi="宋体" w:eastAsia="宋体" w:cs="宋体"/>
                <w:sz w:val="24"/>
                <w:highlight w:val="none"/>
              </w:rPr>
            </w:pPr>
          </w:p>
        </w:tc>
        <w:tc>
          <w:tcPr>
            <w:tcW w:w="2346" w:type="dxa"/>
          </w:tcPr>
          <w:p w14:paraId="61511C37">
            <w:pPr>
              <w:spacing w:line="432" w:lineRule="auto"/>
              <w:rPr>
                <w:rFonts w:hint="eastAsia" w:ascii="宋体" w:hAnsi="宋体" w:eastAsia="宋体" w:cs="宋体"/>
                <w:sz w:val="24"/>
                <w:highlight w:val="none"/>
              </w:rPr>
            </w:pPr>
          </w:p>
        </w:tc>
        <w:tc>
          <w:tcPr>
            <w:tcW w:w="1620" w:type="dxa"/>
          </w:tcPr>
          <w:p w14:paraId="3B23A4CC">
            <w:pPr>
              <w:spacing w:line="432" w:lineRule="auto"/>
              <w:rPr>
                <w:rFonts w:hint="eastAsia" w:ascii="宋体" w:hAnsi="宋体" w:eastAsia="宋体" w:cs="宋体"/>
                <w:sz w:val="24"/>
                <w:highlight w:val="none"/>
              </w:rPr>
            </w:pPr>
          </w:p>
        </w:tc>
        <w:tc>
          <w:tcPr>
            <w:tcW w:w="920" w:type="dxa"/>
          </w:tcPr>
          <w:p w14:paraId="5153B5A6">
            <w:pPr>
              <w:spacing w:line="432" w:lineRule="auto"/>
              <w:rPr>
                <w:rFonts w:hint="eastAsia" w:ascii="宋体" w:hAnsi="宋体" w:eastAsia="宋体" w:cs="宋体"/>
                <w:sz w:val="24"/>
                <w:highlight w:val="none"/>
              </w:rPr>
            </w:pPr>
          </w:p>
        </w:tc>
        <w:tc>
          <w:tcPr>
            <w:tcW w:w="1222" w:type="dxa"/>
          </w:tcPr>
          <w:p w14:paraId="306BD44E">
            <w:pPr>
              <w:spacing w:line="432" w:lineRule="auto"/>
              <w:rPr>
                <w:rFonts w:hint="eastAsia" w:ascii="宋体" w:hAnsi="宋体" w:eastAsia="宋体" w:cs="宋体"/>
                <w:sz w:val="24"/>
                <w:highlight w:val="none"/>
              </w:rPr>
            </w:pPr>
          </w:p>
        </w:tc>
      </w:tr>
      <w:tr w14:paraId="5256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4BE3F2FA">
            <w:pPr>
              <w:spacing w:line="432" w:lineRule="auto"/>
              <w:rPr>
                <w:rFonts w:hint="eastAsia" w:ascii="宋体" w:hAnsi="宋体" w:eastAsia="宋体" w:cs="宋体"/>
                <w:sz w:val="24"/>
                <w:highlight w:val="none"/>
              </w:rPr>
            </w:pPr>
          </w:p>
        </w:tc>
        <w:tc>
          <w:tcPr>
            <w:tcW w:w="1704" w:type="dxa"/>
          </w:tcPr>
          <w:p w14:paraId="081E55C8">
            <w:pPr>
              <w:spacing w:line="432" w:lineRule="auto"/>
              <w:rPr>
                <w:rFonts w:hint="eastAsia" w:ascii="宋体" w:hAnsi="宋体" w:eastAsia="宋体" w:cs="宋体"/>
                <w:sz w:val="24"/>
                <w:highlight w:val="none"/>
              </w:rPr>
            </w:pPr>
          </w:p>
        </w:tc>
        <w:tc>
          <w:tcPr>
            <w:tcW w:w="2346" w:type="dxa"/>
          </w:tcPr>
          <w:p w14:paraId="1D854700">
            <w:pPr>
              <w:spacing w:line="432" w:lineRule="auto"/>
              <w:rPr>
                <w:rFonts w:hint="eastAsia" w:ascii="宋体" w:hAnsi="宋体" w:eastAsia="宋体" w:cs="宋体"/>
                <w:sz w:val="24"/>
                <w:highlight w:val="none"/>
              </w:rPr>
            </w:pPr>
          </w:p>
        </w:tc>
        <w:tc>
          <w:tcPr>
            <w:tcW w:w="1620" w:type="dxa"/>
          </w:tcPr>
          <w:p w14:paraId="0AECFA24">
            <w:pPr>
              <w:spacing w:line="432" w:lineRule="auto"/>
              <w:rPr>
                <w:rFonts w:hint="eastAsia" w:ascii="宋体" w:hAnsi="宋体" w:eastAsia="宋体" w:cs="宋体"/>
                <w:sz w:val="24"/>
                <w:highlight w:val="none"/>
              </w:rPr>
            </w:pPr>
          </w:p>
        </w:tc>
        <w:tc>
          <w:tcPr>
            <w:tcW w:w="920" w:type="dxa"/>
          </w:tcPr>
          <w:p w14:paraId="14232BB6">
            <w:pPr>
              <w:spacing w:line="432" w:lineRule="auto"/>
              <w:rPr>
                <w:rFonts w:hint="eastAsia" w:ascii="宋体" w:hAnsi="宋体" w:eastAsia="宋体" w:cs="宋体"/>
                <w:sz w:val="24"/>
                <w:highlight w:val="none"/>
              </w:rPr>
            </w:pPr>
          </w:p>
        </w:tc>
        <w:tc>
          <w:tcPr>
            <w:tcW w:w="1222" w:type="dxa"/>
          </w:tcPr>
          <w:p w14:paraId="219DDA64">
            <w:pPr>
              <w:spacing w:line="432" w:lineRule="auto"/>
              <w:rPr>
                <w:rFonts w:hint="eastAsia" w:ascii="宋体" w:hAnsi="宋体" w:eastAsia="宋体" w:cs="宋体"/>
                <w:sz w:val="24"/>
                <w:highlight w:val="none"/>
              </w:rPr>
            </w:pPr>
          </w:p>
        </w:tc>
      </w:tr>
    </w:tbl>
    <w:p w14:paraId="6D8D7619">
      <w:pPr>
        <w:spacing w:line="432" w:lineRule="auto"/>
        <w:rPr>
          <w:rFonts w:hint="eastAsia" w:ascii="宋体" w:hAnsi="宋体" w:eastAsia="宋体" w:cs="宋体"/>
          <w:sz w:val="24"/>
          <w:highlight w:val="none"/>
        </w:rPr>
      </w:pPr>
      <w:r>
        <w:rPr>
          <w:rFonts w:hint="eastAsia" w:ascii="宋体" w:hAnsi="宋体" w:eastAsia="宋体" w:cs="宋体"/>
          <w:sz w:val="24"/>
          <w:highlight w:val="none"/>
        </w:rPr>
        <w:t>注：1、响应/偏离内容应在说明栏中说明该条款在响应文件中（或页码）的依据；</w:t>
      </w:r>
    </w:p>
    <w:p w14:paraId="14DFE6CD">
      <w:pPr>
        <w:spacing w:line="432"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2、供应商不按上述表格填写，所产生的一切后果由供应商承担。</w:t>
      </w:r>
    </w:p>
    <w:p w14:paraId="55C03975">
      <w:pPr>
        <w:spacing w:line="432" w:lineRule="auto"/>
        <w:rPr>
          <w:rFonts w:hint="eastAsia" w:ascii="宋体" w:hAnsi="宋体" w:eastAsia="宋体" w:cs="宋体"/>
          <w:sz w:val="24"/>
          <w:highlight w:val="none"/>
        </w:rPr>
      </w:pPr>
    </w:p>
    <w:p w14:paraId="0C8CEC8A">
      <w:pPr>
        <w:spacing w:line="432" w:lineRule="auto"/>
        <w:rPr>
          <w:rFonts w:hint="eastAsia" w:ascii="宋体" w:hAnsi="宋体" w:eastAsia="宋体" w:cs="宋体"/>
          <w:sz w:val="24"/>
          <w:highlight w:val="none"/>
        </w:rPr>
      </w:pPr>
      <w:r>
        <w:rPr>
          <w:rFonts w:hint="eastAsia" w:ascii="宋体" w:hAnsi="宋体" w:eastAsia="宋体" w:cs="宋体"/>
          <w:sz w:val="24"/>
          <w:highlight w:val="none"/>
        </w:rPr>
        <w:t>供应商盖章：</w:t>
      </w:r>
    </w:p>
    <w:p w14:paraId="05AF4189">
      <w:pPr>
        <w:jc w:val="left"/>
        <w:rPr>
          <w:rFonts w:hint="eastAsia" w:ascii="宋体" w:hAnsi="宋体" w:eastAsia="宋体" w:cs="宋体"/>
          <w:highlight w:val="none"/>
        </w:rPr>
      </w:pPr>
      <w:r>
        <w:rPr>
          <w:rFonts w:hint="eastAsia" w:ascii="宋体" w:hAnsi="宋体" w:eastAsia="宋体" w:cs="宋体"/>
          <w:szCs w:val="21"/>
          <w:highlight w:val="none"/>
        </w:rPr>
        <w:t>日期：年 月 日</w:t>
      </w:r>
    </w:p>
    <w:p w14:paraId="56547B5B">
      <w:pPr>
        <w:spacing w:line="432" w:lineRule="auto"/>
        <w:rPr>
          <w:rFonts w:hint="eastAsia" w:ascii="宋体" w:hAnsi="宋体" w:eastAsia="宋体" w:cs="宋体"/>
          <w:sz w:val="24"/>
          <w:highlight w:val="none"/>
          <w:u w:val="single"/>
        </w:rPr>
      </w:pPr>
    </w:p>
    <w:p w14:paraId="48269CD6">
      <w:pPr>
        <w:spacing w:line="432" w:lineRule="auto"/>
        <w:rPr>
          <w:rFonts w:hint="eastAsia" w:ascii="宋体" w:hAnsi="宋体" w:eastAsia="宋体" w:cs="宋体"/>
          <w:sz w:val="24"/>
          <w:highlight w:val="none"/>
          <w:u w:val="single"/>
        </w:rPr>
      </w:pPr>
    </w:p>
    <w:p w14:paraId="7DB4BC28">
      <w:pPr>
        <w:pStyle w:val="42"/>
        <w:spacing w:before="312"/>
        <w:rPr>
          <w:rFonts w:hint="eastAsia" w:ascii="宋体" w:hAnsi="宋体" w:eastAsia="宋体" w:cs="宋体"/>
          <w:highlight w:val="none"/>
        </w:rPr>
      </w:pPr>
      <w:bookmarkStart w:id="75" w:name="_Toc4810"/>
      <w:bookmarkStart w:id="76" w:name="_Toc505076483"/>
      <w:r>
        <w:rPr>
          <w:rFonts w:hint="eastAsia" w:ascii="宋体" w:hAnsi="宋体" w:eastAsia="宋体" w:cs="宋体"/>
          <w:highlight w:val="none"/>
        </w:rPr>
        <w:t>格式</w:t>
      </w:r>
      <w:r>
        <w:rPr>
          <w:rFonts w:hint="eastAsia" w:ascii="宋体" w:hAnsi="宋体" w:eastAsia="宋体" w:cs="宋体"/>
          <w:highlight w:val="none"/>
          <w:lang w:val="en-US" w:eastAsia="zh-CN"/>
        </w:rPr>
        <w:t>5</w:t>
      </w:r>
      <w:r>
        <w:rPr>
          <w:rFonts w:hint="eastAsia" w:ascii="宋体" w:hAnsi="宋体" w:eastAsia="宋体" w:cs="宋体"/>
          <w:highlight w:val="none"/>
        </w:rPr>
        <w:t>. 商务要求响应/偏离表</w:t>
      </w:r>
      <w:bookmarkEnd w:id="75"/>
      <w:bookmarkEnd w:id="76"/>
    </w:p>
    <w:p w14:paraId="1B3B886F">
      <w:pPr>
        <w:spacing w:line="432" w:lineRule="auto"/>
        <w:rPr>
          <w:rFonts w:hint="eastAsia" w:ascii="宋体" w:hAnsi="宋体" w:eastAsia="宋体" w:cs="宋体"/>
          <w:sz w:val="24"/>
          <w:highlight w:val="none"/>
        </w:rPr>
      </w:pPr>
    </w:p>
    <w:p w14:paraId="3DFE48C3">
      <w:pPr>
        <w:spacing w:line="432" w:lineRule="auto"/>
        <w:rPr>
          <w:rFonts w:hint="eastAsia" w:ascii="宋体" w:hAnsi="宋体" w:eastAsia="宋体" w:cs="宋体"/>
          <w:sz w:val="24"/>
          <w:highlight w:val="none"/>
          <w:u w:val="single"/>
        </w:rPr>
      </w:pPr>
      <w:r>
        <w:rPr>
          <w:rFonts w:hint="eastAsia" w:ascii="宋体" w:hAnsi="宋体" w:eastAsia="宋体" w:cs="宋体"/>
          <w:sz w:val="24"/>
          <w:highlight w:val="none"/>
        </w:rPr>
        <w:t>项目编号：</w:t>
      </w:r>
    </w:p>
    <w:tbl>
      <w:tblPr>
        <w:tblStyle w:val="17"/>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14:paraId="01A1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823" w:type="dxa"/>
            <w:gridSpan w:val="6"/>
            <w:vAlign w:val="center"/>
          </w:tcPr>
          <w:p w14:paraId="541C71E3">
            <w:pPr>
              <w:spacing w:line="360" w:lineRule="exact"/>
              <w:rPr>
                <w:rFonts w:hint="eastAsia" w:ascii="宋体" w:hAnsi="宋体" w:eastAsia="宋体" w:cs="宋体"/>
                <w:sz w:val="24"/>
                <w:highlight w:val="none"/>
              </w:rPr>
            </w:pPr>
            <w:r>
              <w:rPr>
                <w:rFonts w:hint="eastAsia" w:ascii="宋体" w:hAnsi="宋体" w:eastAsia="宋体" w:cs="宋体"/>
                <w:sz w:val="24"/>
                <w:highlight w:val="none"/>
              </w:rPr>
              <w:t>我公司郑重承诺，完全响应竞争性谈判文件规定的所有商务需求，并按规定的商务要求进行履约。</w:t>
            </w:r>
          </w:p>
        </w:tc>
      </w:tr>
      <w:tr w14:paraId="0392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823" w:type="dxa"/>
            <w:gridSpan w:val="6"/>
            <w:vAlign w:val="center"/>
          </w:tcPr>
          <w:p w14:paraId="2E596C6E">
            <w:pPr>
              <w:spacing w:line="360" w:lineRule="exact"/>
              <w:rPr>
                <w:rFonts w:hint="eastAsia" w:ascii="宋体" w:hAnsi="宋体" w:eastAsia="宋体" w:cs="宋体"/>
                <w:sz w:val="24"/>
                <w:highlight w:val="none"/>
              </w:rPr>
            </w:pPr>
            <w:r>
              <w:rPr>
                <w:rFonts w:hint="eastAsia" w:ascii="宋体" w:hAnsi="宋体" w:eastAsia="宋体" w:cs="宋体"/>
                <w:sz w:val="24"/>
                <w:highlight w:val="none"/>
              </w:rPr>
              <w:t>说明：若响应的部分商务需求与竞争性谈判文件规定的商务需求有偏离，则按下表列出，并标明响应情况，若完全响应，则无需填写下表。只接受正偏离（优于招标文件要求） ，不接受负偏离（劣于竞争性谈判文件要求） ，负偏离则无效响应。</w:t>
            </w:r>
          </w:p>
        </w:tc>
      </w:tr>
      <w:tr w14:paraId="66B0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vAlign w:val="center"/>
          </w:tcPr>
          <w:p w14:paraId="62C00C52">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471" w:type="dxa"/>
            <w:vAlign w:val="center"/>
          </w:tcPr>
          <w:p w14:paraId="2E90B9E0">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谈判文件条目号</w:t>
            </w:r>
          </w:p>
        </w:tc>
        <w:tc>
          <w:tcPr>
            <w:tcW w:w="1470" w:type="dxa"/>
            <w:vAlign w:val="center"/>
          </w:tcPr>
          <w:p w14:paraId="62D6C0F2">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谈判文件的商务需求</w:t>
            </w:r>
          </w:p>
        </w:tc>
        <w:tc>
          <w:tcPr>
            <w:tcW w:w="1817" w:type="dxa"/>
            <w:vAlign w:val="center"/>
          </w:tcPr>
          <w:p w14:paraId="7449C0E9">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响应文件的</w:t>
            </w:r>
          </w:p>
          <w:p w14:paraId="3A66AAA0">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商务需求</w:t>
            </w:r>
          </w:p>
        </w:tc>
        <w:tc>
          <w:tcPr>
            <w:tcW w:w="1124" w:type="dxa"/>
            <w:vAlign w:val="center"/>
          </w:tcPr>
          <w:p w14:paraId="2FE0E717">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响应/偏离</w:t>
            </w:r>
          </w:p>
        </w:tc>
        <w:tc>
          <w:tcPr>
            <w:tcW w:w="1471" w:type="dxa"/>
            <w:vAlign w:val="center"/>
          </w:tcPr>
          <w:p w14:paraId="5B8B409F">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说明</w:t>
            </w:r>
          </w:p>
        </w:tc>
      </w:tr>
      <w:tr w14:paraId="14B6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55109C5E">
            <w:pPr>
              <w:spacing w:line="432" w:lineRule="auto"/>
              <w:rPr>
                <w:rFonts w:hint="eastAsia" w:ascii="宋体" w:hAnsi="宋体" w:eastAsia="宋体" w:cs="宋体"/>
                <w:sz w:val="24"/>
                <w:highlight w:val="none"/>
              </w:rPr>
            </w:pPr>
          </w:p>
        </w:tc>
        <w:tc>
          <w:tcPr>
            <w:tcW w:w="1471" w:type="dxa"/>
          </w:tcPr>
          <w:p w14:paraId="40F16A08">
            <w:pPr>
              <w:spacing w:line="432" w:lineRule="auto"/>
              <w:rPr>
                <w:rFonts w:hint="eastAsia" w:ascii="宋体" w:hAnsi="宋体" w:eastAsia="宋体" w:cs="宋体"/>
                <w:sz w:val="24"/>
                <w:highlight w:val="none"/>
              </w:rPr>
            </w:pPr>
          </w:p>
        </w:tc>
        <w:tc>
          <w:tcPr>
            <w:tcW w:w="1470" w:type="dxa"/>
          </w:tcPr>
          <w:p w14:paraId="093D7282">
            <w:pPr>
              <w:spacing w:line="432" w:lineRule="auto"/>
              <w:rPr>
                <w:rFonts w:hint="eastAsia" w:ascii="宋体" w:hAnsi="宋体" w:eastAsia="宋体" w:cs="宋体"/>
                <w:sz w:val="24"/>
                <w:highlight w:val="none"/>
              </w:rPr>
            </w:pPr>
          </w:p>
        </w:tc>
        <w:tc>
          <w:tcPr>
            <w:tcW w:w="1817" w:type="dxa"/>
          </w:tcPr>
          <w:p w14:paraId="4A895D45">
            <w:pPr>
              <w:spacing w:line="432" w:lineRule="auto"/>
              <w:rPr>
                <w:rFonts w:hint="eastAsia" w:ascii="宋体" w:hAnsi="宋体" w:eastAsia="宋体" w:cs="宋体"/>
                <w:sz w:val="24"/>
                <w:highlight w:val="none"/>
              </w:rPr>
            </w:pPr>
          </w:p>
        </w:tc>
        <w:tc>
          <w:tcPr>
            <w:tcW w:w="1124" w:type="dxa"/>
          </w:tcPr>
          <w:p w14:paraId="1D9793D5">
            <w:pPr>
              <w:spacing w:line="432" w:lineRule="auto"/>
              <w:rPr>
                <w:rFonts w:hint="eastAsia" w:ascii="宋体" w:hAnsi="宋体" w:eastAsia="宋体" w:cs="宋体"/>
                <w:sz w:val="24"/>
                <w:highlight w:val="none"/>
              </w:rPr>
            </w:pPr>
          </w:p>
        </w:tc>
        <w:tc>
          <w:tcPr>
            <w:tcW w:w="1471" w:type="dxa"/>
          </w:tcPr>
          <w:p w14:paraId="02A44969">
            <w:pPr>
              <w:spacing w:line="432" w:lineRule="auto"/>
              <w:rPr>
                <w:rFonts w:hint="eastAsia" w:ascii="宋体" w:hAnsi="宋体" w:eastAsia="宋体" w:cs="宋体"/>
                <w:sz w:val="24"/>
                <w:highlight w:val="none"/>
              </w:rPr>
            </w:pPr>
          </w:p>
        </w:tc>
      </w:tr>
      <w:tr w14:paraId="71FB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1BCD89B4">
            <w:pPr>
              <w:spacing w:line="432" w:lineRule="auto"/>
              <w:rPr>
                <w:rFonts w:hint="eastAsia" w:ascii="宋体" w:hAnsi="宋体" w:eastAsia="宋体" w:cs="宋体"/>
                <w:sz w:val="24"/>
                <w:highlight w:val="none"/>
              </w:rPr>
            </w:pPr>
          </w:p>
        </w:tc>
        <w:tc>
          <w:tcPr>
            <w:tcW w:w="1471" w:type="dxa"/>
          </w:tcPr>
          <w:p w14:paraId="7FD4E641">
            <w:pPr>
              <w:spacing w:line="432" w:lineRule="auto"/>
              <w:rPr>
                <w:rFonts w:hint="eastAsia" w:ascii="宋体" w:hAnsi="宋体" w:eastAsia="宋体" w:cs="宋体"/>
                <w:sz w:val="24"/>
                <w:highlight w:val="none"/>
              </w:rPr>
            </w:pPr>
          </w:p>
        </w:tc>
        <w:tc>
          <w:tcPr>
            <w:tcW w:w="1470" w:type="dxa"/>
          </w:tcPr>
          <w:p w14:paraId="7906854C">
            <w:pPr>
              <w:spacing w:line="432" w:lineRule="auto"/>
              <w:rPr>
                <w:rFonts w:hint="eastAsia" w:ascii="宋体" w:hAnsi="宋体" w:eastAsia="宋体" w:cs="宋体"/>
                <w:sz w:val="24"/>
                <w:highlight w:val="none"/>
              </w:rPr>
            </w:pPr>
          </w:p>
        </w:tc>
        <w:tc>
          <w:tcPr>
            <w:tcW w:w="1817" w:type="dxa"/>
          </w:tcPr>
          <w:p w14:paraId="2887FC7F">
            <w:pPr>
              <w:spacing w:line="432" w:lineRule="auto"/>
              <w:rPr>
                <w:rFonts w:hint="eastAsia" w:ascii="宋体" w:hAnsi="宋体" w:eastAsia="宋体" w:cs="宋体"/>
                <w:sz w:val="24"/>
                <w:highlight w:val="none"/>
              </w:rPr>
            </w:pPr>
          </w:p>
        </w:tc>
        <w:tc>
          <w:tcPr>
            <w:tcW w:w="1124" w:type="dxa"/>
          </w:tcPr>
          <w:p w14:paraId="25AE92EE">
            <w:pPr>
              <w:spacing w:line="432" w:lineRule="auto"/>
              <w:rPr>
                <w:rFonts w:hint="eastAsia" w:ascii="宋体" w:hAnsi="宋体" w:eastAsia="宋体" w:cs="宋体"/>
                <w:sz w:val="24"/>
                <w:highlight w:val="none"/>
              </w:rPr>
            </w:pPr>
          </w:p>
        </w:tc>
        <w:tc>
          <w:tcPr>
            <w:tcW w:w="1471" w:type="dxa"/>
          </w:tcPr>
          <w:p w14:paraId="37445E9E">
            <w:pPr>
              <w:spacing w:line="432" w:lineRule="auto"/>
              <w:rPr>
                <w:rFonts w:hint="eastAsia" w:ascii="宋体" w:hAnsi="宋体" w:eastAsia="宋体" w:cs="宋体"/>
                <w:sz w:val="24"/>
                <w:highlight w:val="none"/>
              </w:rPr>
            </w:pPr>
          </w:p>
        </w:tc>
      </w:tr>
      <w:tr w14:paraId="74C1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14:paraId="5C1D440F">
            <w:pPr>
              <w:spacing w:line="432" w:lineRule="auto"/>
              <w:rPr>
                <w:rFonts w:hint="eastAsia" w:ascii="宋体" w:hAnsi="宋体" w:eastAsia="宋体" w:cs="宋体"/>
                <w:sz w:val="24"/>
                <w:highlight w:val="none"/>
              </w:rPr>
            </w:pPr>
          </w:p>
        </w:tc>
        <w:tc>
          <w:tcPr>
            <w:tcW w:w="1471" w:type="dxa"/>
          </w:tcPr>
          <w:p w14:paraId="3BE5D9BC">
            <w:pPr>
              <w:spacing w:line="432" w:lineRule="auto"/>
              <w:rPr>
                <w:rFonts w:hint="eastAsia" w:ascii="宋体" w:hAnsi="宋体" w:eastAsia="宋体" w:cs="宋体"/>
                <w:sz w:val="24"/>
                <w:highlight w:val="none"/>
              </w:rPr>
            </w:pPr>
          </w:p>
        </w:tc>
        <w:tc>
          <w:tcPr>
            <w:tcW w:w="1470" w:type="dxa"/>
          </w:tcPr>
          <w:p w14:paraId="52B2521E">
            <w:pPr>
              <w:spacing w:line="432" w:lineRule="auto"/>
              <w:rPr>
                <w:rFonts w:hint="eastAsia" w:ascii="宋体" w:hAnsi="宋体" w:eastAsia="宋体" w:cs="宋体"/>
                <w:sz w:val="24"/>
                <w:highlight w:val="none"/>
              </w:rPr>
            </w:pPr>
          </w:p>
        </w:tc>
        <w:tc>
          <w:tcPr>
            <w:tcW w:w="1817" w:type="dxa"/>
          </w:tcPr>
          <w:p w14:paraId="31229E67">
            <w:pPr>
              <w:spacing w:line="432" w:lineRule="auto"/>
              <w:rPr>
                <w:rFonts w:hint="eastAsia" w:ascii="宋体" w:hAnsi="宋体" w:eastAsia="宋体" w:cs="宋体"/>
                <w:sz w:val="24"/>
                <w:highlight w:val="none"/>
              </w:rPr>
            </w:pPr>
          </w:p>
        </w:tc>
        <w:tc>
          <w:tcPr>
            <w:tcW w:w="1124" w:type="dxa"/>
          </w:tcPr>
          <w:p w14:paraId="35FA16C8">
            <w:pPr>
              <w:spacing w:line="432" w:lineRule="auto"/>
              <w:rPr>
                <w:rFonts w:hint="eastAsia" w:ascii="宋体" w:hAnsi="宋体" w:eastAsia="宋体" w:cs="宋体"/>
                <w:sz w:val="24"/>
                <w:highlight w:val="none"/>
              </w:rPr>
            </w:pPr>
          </w:p>
        </w:tc>
        <w:tc>
          <w:tcPr>
            <w:tcW w:w="1471" w:type="dxa"/>
          </w:tcPr>
          <w:p w14:paraId="1E1F324F">
            <w:pPr>
              <w:spacing w:line="432" w:lineRule="auto"/>
              <w:rPr>
                <w:rFonts w:hint="eastAsia" w:ascii="宋体" w:hAnsi="宋体" w:eastAsia="宋体" w:cs="宋体"/>
                <w:sz w:val="24"/>
                <w:highlight w:val="none"/>
              </w:rPr>
            </w:pPr>
          </w:p>
        </w:tc>
      </w:tr>
      <w:tr w14:paraId="6A97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A5B4A1F">
            <w:pPr>
              <w:spacing w:line="432" w:lineRule="auto"/>
              <w:rPr>
                <w:rFonts w:hint="eastAsia" w:ascii="宋体" w:hAnsi="宋体" w:eastAsia="宋体" w:cs="宋体"/>
                <w:sz w:val="24"/>
                <w:highlight w:val="none"/>
              </w:rPr>
            </w:pPr>
          </w:p>
        </w:tc>
        <w:tc>
          <w:tcPr>
            <w:tcW w:w="1471" w:type="dxa"/>
          </w:tcPr>
          <w:p w14:paraId="6B79A21D">
            <w:pPr>
              <w:spacing w:line="432" w:lineRule="auto"/>
              <w:rPr>
                <w:rFonts w:hint="eastAsia" w:ascii="宋体" w:hAnsi="宋体" w:eastAsia="宋体" w:cs="宋体"/>
                <w:sz w:val="24"/>
                <w:highlight w:val="none"/>
              </w:rPr>
            </w:pPr>
          </w:p>
        </w:tc>
        <w:tc>
          <w:tcPr>
            <w:tcW w:w="1470" w:type="dxa"/>
          </w:tcPr>
          <w:p w14:paraId="014020D4">
            <w:pPr>
              <w:spacing w:line="432" w:lineRule="auto"/>
              <w:rPr>
                <w:rFonts w:hint="eastAsia" w:ascii="宋体" w:hAnsi="宋体" w:eastAsia="宋体" w:cs="宋体"/>
                <w:sz w:val="24"/>
                <w:highlight w:val="none"/>
              </w:rPr>
            </w:pPr>
          </w:p>
        </w:tc>
        <w:tc>
          <w:tcPr>
            <w:tcW w:w="1817" w:type="dxa"/>
          </w:tcPr>
          <w:p w14:paraId="11A68C7D">
            <w:pPr>
              <w:spacing w:line="432" w:lineRule="auto"/>
              <w:rPr>
                <w:rFonts w:hint="eastAsia" w:ascii="宋体" w:hAnsi="宋体" w:eastAsia="宋体" w:cs="宋体"/>
                <w:sz w:val="24"/>
                <w:highlight w:val="none"/>
              </w:rPr>
            </w:pPr>
          </w:p>
        </w:tc>
        <w:tc>
          <w:tcPr>
            <w:tcW w:w="1124" w:type="dxa"/>
          </w:tcPr>
          <w:p w14:paraId="536BD04F">
            <w:pPr>
              <w:spacing w:line="432" w:lineRule="auto"/>
              <w:rPr>
                <w:rFonts w:hint="eastAsia" w:ascii="宋体" w:hAnsi="宋体" w:eastAsia="宋体" w:cs="宋体"/>
                <w:sz w:val="24"/>
                <w:highlight w:val="none"/>
              </w:rPr>
            </w:pPr>
          </w:p>
        </w:tc>
        <w:tc>
          <w:tcPr>
            <w:tcW w:w="1471" w:type="dxa"/>
          </w:tcPr>
          <w:p w14:paraId="2372A82D">
            <w:pPr>
              <w:spacing w:line="432" w:lineRule="auto"/>
              <w:rPr>
                <w:rFonts w:hint="eastAsia" w:ascii="宋体" w:hAnsi="宋体" w:eastAsia="宋体" w:cs="宋体"/>
                <w:sz w:val="24"/>
                <w:highlight w:val="none"/>
              </w:rPr>
            </w:pPr>
          </w:p>
        </w:tc>
      </w:tr>
      <w:tr w14:paraId="0D08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C33CDF0">
            <w:pPr>
              <w:spacing w:line="432" w:lineRule="auto"/>
              <w:rPr>
                <w:rFonts w:hint="eastAsia" w:ascii="宋体" w:hAnsi="宋体" w:eastAsia="宋体" w:cs="宋体"/>
                <w:sz w:val="24"/>
                <w:highlight w:val="none"/>
              </w:rPr>
            </w:pPr>
          </w:p>
        </w:tc>
        <w:tc>
          <w:tcPr>
            <w:tcW w:w="1471" w:type="dxa"/>
          </w:tcPr>
          <w:p w14:paraId="2701D4B8">
            <w:pPr>
              <w:spacing w:line="432" w:lineRule="auto"/>
              <w:rPr>
                <w:rFonts w:hint="eastAsia" w:ascii="宋体" w:hAnsi="宋体" w:eastAsia="宋体" w:cs="宋体"/>
                <w:sz w:val="24"/>
                <w:highlight w:val="none"/>
              </w:rPr>
            </w:pPr>
          </w:p>
        </w:tc>
        <w:tc>
          <w:tcPr>
            <w:tcW w:w="1470" w:type="dxa"/>
          </w:tcPr>
          <w:p w14:paraId="07CDE5C1">
            <w:pPr>
              <w:spacing w:line="432" w:lineRule="auto"/>
              <w:rPr>
                <w:rFonts w:hint="eastAsia" w:ascii="宋体" w:hAnsi="宋体" w:eastAsia="宋体" w:cs="宋体"/>
                <w:sz w:val="24"/>
                <w:highlight w:val="none"/>
              </w:rPr>
            </w:pPr>
          </w:p>
        </w:tc>
        <w:tc>
          <w:tcPr>
            <w:tcW w:w="1817" w:type="dxa"/>
          </w:tcPr>
          <w:p w14:paraId="579B2303">
            <w:pPr>
              <w:spacing w:line="432" w:lineRule="auto"/>
              <w:rPr>
                <w:rFonts w:hint="eastAsia" w:ascii="宋体" w:hAnsi="宋体" w:eastAsia="宋体" w:cs="宋体"/>
                <w:sz w:val="24"/>
                <w:highlight w:val="none"/>
              </w:rPr>
            </w:pPr>
          </w:p>
        </w:tc>
        <w:tc>
          <w:tcPr>
            <w:tcW w:w="1124" w:type="dxa"/>
          </w:tcPr>
          <w:p w14:paraId="71EA5EA5">
            <w:pPr>
              <w:spacing w:line="432" w:lineRule="auto"/>
              <w:rPr>
                <w:rFonts w:hint="eastAsia" w:ascii="宋体" w:hAnsi="宋体" w:eastAsia="宋体" w:cs="宋体"/>
                <w:sz w:val="24"/>
                <w:highlight w:val="none"/>
              </w:rPr>
            </w:pPr>
          </w:p>
        </w:tc>
        <w:tc>
          <w:tcPr>
            <w:tcW w:w="1471" w:type="dxa"/>
          </w:tcPr>
          <w:p w14:paraId="2A3CD6AA">
            <w:pPr>
              <w:spacing w:line="432" w:lineRule="auto"/>
              <w:rPr>
                <w:rFonts w:hint="eastAsia" w:ascii="宋体" w:hAnsi="宋体" w:eastAsia="宋体" w:cs="宋体"/>
                <w:sz w:val="24"/>
                <w:highlight w:val="none"/>
              </w:rPr>
            </w:pPr>
          </w:p>
        </w:tc>
      </w:tr>
    </w:tbl>
    <w:p w14:paraId="2288BB45">
      <w:pPr>
        <w:spacing w:line="432" w:lineRule="auto"/>
        <w:rPr>
          <w:rFonts w:hint="eastAsia" w:ascii="宋体" w:hAnsi="宋体" w:eastAsia="宋体" w:cs="宋体"/>
          <w:sz w:val="24"/>
          <w:highlight w:val="none"/>
        </w:rPr>
      </w:pPr>
      <w:r>
        <w:rPr>
          <w:rFonts w:hint="eastAsia" w:ascii="宋体" w:hAnsi="宋体" w:eastAsia="宋体" w:cs="宋体"/>
          <w:sz w:val="24"/>
          <w:highlight w:val="none"/>
        </w:rPr>
        <w:t>注：1、</w:t>
      </w:r>
      <w:r>
        <w:rPr>
          <w:rFonts w:hint="eastAsia" w:ascii="宋体" w:hAnsi="宋体" w:eastAsia="宋体" w:cs="宋体"/>
          <w:sz w:val="24"/>
          <w:szCs w:val="24"/>
          <w:highlight w:val="none"/>
        </w:rPr>
        <w:t>响应/偏离内容应在说明栏中说明该条款在响应文件中（或页码）的依据；</w:t>
      </w:r>
    </w:p>
    <w:p w14:paraId="092E262A">
      <w:pPr>
        <w:spacing w:line="432" w:lineRule="auto"/>
        <w:ind w:firstLine="480" w:firstLineChars="200"/>
        <w:rPr>
          <w:rFonts w:hint="eastAsia" w:ascii="宋体" w:hAnsi="宋体" w:eastAsia="宋体" w:cs="宋体"/>
          <w:sz w:val="28"/>
          <w:highlight w:val="none"/>
        </w:rPr>
      </w:pPr>
      <w:r>
        <w:rPr>
          <w:rFonts w:hint="eastAsia" w:ascii="宋体" w:hAnsi="宋体" w:eastAsia="宋体" w:cs="宋体"/>
          <w:sz w:val="24"/>
          <w:highlight w:val="none"/>
        </w:rPr>
        <w:t>2、供应商不按上述表格填写，所产生的一切后果由供应商承担。</w:t>
      </w:r>
    </w:p>
    <w:p w14:paraId="37F97BB0">
      <w:pPr>
        <w:spacing w:after="156" w:afterLines="50" w:line="320" w:lineRule="exact"/>
        <w:rPr>
          <w:rFonts w:hint="eastAsia" w:ascii="宋体" w:hAnsi="宋体" w:eastAsia="宋体" w:cs="宋体"/>
          <w:sz w:val="24"/>
          <w:highlight w:val="none"/>
        </w:rPr>
      </w:pPr>
    </w:p>
    <w:p w14:paraId="0C511D86">
      <w:pPr>
        <w:spacing w:line="432" w:lineRule="auto"/>
        <w:rPr>
          <w:rFonts w:hint="eastAsia" w:ascii="宋体" w:hAnsi="宋体" w:eastAsia="宋体" w:cs="宋体"/>
          <w:sz w:val="24"/>
          <w:highlight w:val="none"/>
        </w:rPr>
      </w:pPr>
      <w:r>
        <w:rPr>
          <w:rFonts w:hint="eastAsia" w:ascii="宋体" w:hAnsi="宋体" w:eastAsia="宋体" w:cs="宋体"/>
          <w:sz w:val="24"/>
          <w:highlight w:val="none"/>
        </w:rPr>
        <w:t>供应商盖章：</w:t>
      </w:r>
    </w:p>
    <w:p w14:paraId="43C0AE99">
      <w:pPr>
        <w:jc w:val="left"/>
        <w:rPr>
          <w:rFonts w:hint="eastAsia" w:ascii="宋体" w:hAnsi="宋体" w:eastAsia="宋体" w:cs="宋体"/>
          <w:highlight w:val="none"/>
        </w:rPr>
      </w:pPr>
      <w:r>
        <w:rPr>
          <w:rFonts w:hint="eastAsia" w:ascii="宋体" w:hAnsi="宋体" w:eastAsia="宋体" w:cs="宋体"/>
          <w:szCs w:val="21"/>
          <w:highlight w:val="none"/>
        </w:rPr>
        <w:t>日期：年 月 日</w:t>
      </w:r>
    </w:p>
    <w:p w14:paraId="55D9D82B">
      <w:pPr>
        <w:spacing w:line="432" w:lineRule="auto"/>
        <w:rPr>
          <w:rFonts w:hint="eastAsia" w:ascii="宋体" w:hAnsi="宋体" w:eastAsia="宋体" w:cs="宋体"/>
          <w:sz w:val="24"/>
          <w:highlight w:val="none"/>
        </w:rPr>
      </w:pPr>
    </w:p>
    <w:p w14:paraId="608B5014">
      <w:pPr>
        <w:pStyle w:val="42"/>
        <w:spacing w:before="312"/>
        <w:rPr>
          <w:rFonts w:hint="eastAsia" w:ascii="宋体" w:hAnsi="宋体" w:eastAsia="宋体" w:cs="宋体"/>
          <w:highlight w:val="none"/>
        </w:rPr>
      </w:pPr>
      <w:bookmarkStart w:id="77" w:name="_Toc18633"/>
      <w:bookmarkStart w:id="78" w:name="_Toc505076484"/>
      <w:r>
        <w:rPr>
          <w:rFonts w:hint="eastAsia" w:ascii="宋体" w:hAnsi="宋体" w:eastAsia="宋体" w:cs="宋体"/>
          <w:highlight w:val="none"/>
          <w:lang w:val="en-US" w:eastAsia="zh-CN"/>
        </w:rPr>
        <w:t>6</w:t>
      </w:r>
      <w:r>
        <w:rPr>
          <w:rFonts w:hint="eastAsia" w:ascii="宋体" w:hAnsi="宋体" w:eastAsia="宋体" w:cs="宋体"/>
          <w:highlight w:val="none"/>
        </w:rPr>
        <w:t>. 其他证明资料</w:t>
      </w:r>
      <w:bookmarkEnd w:id="77"/>
      <w:bookmarkEnd w:id="78"/>
    </w:p>
    <w:p w14:paraId="143679BB">
      <w:pPr>
        <w:spacing w:line="440" w:lineRule="exact"/>
        <w:jc w:val="center"/>
        <w:rPr>
          <w:rFonts w:hint="eastAsia" w:ascii="宋体" w:hAnsi="宋体" w:eastAsia="宋体" w:cs="宋体"/>
          <w:b/>
          <w:sz w:val="24"/>
          <w:szCs w:val="24"/>
          <w:highlight w:val="none"/>
        </w:rPr>
      </w:pPr>
      <w:bookmarkStart w:id="79" w:name="_Toc475970091"/>
      <w:r>
        <w:rPr>
          <w:rFonts w:hint="eastAsia" w:ascii="宋体" w:hAnsi="宋体" w:eastAsia="宋体" w:cs="宋体"/>
          <w:b/>
          <w:sz w:val="24"/>
          <w:szCs w:val="24"/>
          <w:highlight w:val="none"/>
        </w:rPr>
        <w:t>格式</w:t>
      </w: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-1. 供应商情况一览表</w:t>
      </w:r>
      <w:bookmarkEnd w:id="79"/>
    </w:p>
    <w:p w14:paraId="5E0D6ACA">
      <w:pPr>
        <w:spacing w:line="320" w:lineRule="exact"/>
        <w:jc w:val="center"/>
        <w:rPr>
          <w:rFonts w:hint="eastAsia" w:ascii="宋体" w:hAnsi="宋体" w:eastAsia="宋体" w:cs="宋体"/>
          <w:sz w:val="24"/>
          <w:szCs w:val="24"/>
          <w:highlight w:val="none"/>
        </w:rPr>
      </w:pPr>
    </w:p>
    <w:tbl>
      <w:tblPr>
        <w:tblStyle w:val="17"/>
        <w:tblW w:w="97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1EFA31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2235" w:type="dxa"/>
            <w:vAlign w:val="center"/>
          </w:tcPr>
          <w:p w14:paraId="4EC14946">
            <w:pPr>
              <w:jc w:val="center"/>
              <w:rPr>
                <w:rFonts w:hint="eastAsia" w:ascii="宋体" w:hAnsi="宋体" w:eastAsia="宋体" w:cs="宋体"/>
                <w:sz w:val="24"/>
                <w:highlight w:val="none"/>
              </w:rPr>
            </w:pPr>
            <w:r>
              <w:rPr>
                <w:rFonts w:hint="eastAsia" w:ascii="宋体" w:hAnsi="宋体" w:eastAsia="宋体" w:cs="宋体"/>
                <w:sz w:val="24"/>
                <w:highlight w:val="none"/>
              </w:rPr>
              <w:t>供应商名称</w:t>
            </w:r>
          </w:p>
        </w:tc>
        <w:tc>
          <w:tcPr>
            <w:tcW w:w="7485" w:type="dxa"/>
            <w:gridSpan w:val="6"/>
            <w:vAlign w:val="center"/>
          </w:tcPr>
          <w:p w14:paraId="3E77CC27">
            <w:pPr>
              <w:jc w:val="center"/>
              <w:rPr>
                <w:rFonts w:hint="eastAsia" w:ascii="宋体" w:hAnsi="宋体" w:eastAsia="宋体" w:cs="宋体"/>
                <w:sz w:val="24"/>
                <w:highlight w:val="none"/>
              </w:rPr>
            </w:pPr>
          </w:p>
        </w:tc>
      </w:tr>
      <w:tr w14:paraId="08720B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35" w:type="dxa"/>
            <w:vAlign w:val="center"/>
          </w:tcPr>
          <w:p w14:paraId="6012ABE9">
            <w:pPr>
              <w:jc w:val="center"/>
              <w:rPr>
                <w:rFonts w:hint="eastAsia" w:ascii="宋体" w:hAnsi="宋体" w:eastAsia="宋体" w:cs="宋体"/>
                <w:sz w:val="24"/>
                <w:highlight w:val="none"/>
              </w:rPr>
            </w:pPr>
            <w:r>
              <w:rPr>
                <w:rFonts w:hint="eastAsia" w:ascii="宋体" w:hAnsi="宋体" w:eastAsia="宋体" w:cs="宋体"/>
                <w:sz w:val="24"/>
                <w:highlight w:val="none"/>
              </w:rPr>
              <w:t>注册地址</w:t>
            </w:r>
          </w:p>
        </w:tc>
        <w:tc>
          <w:tcPr>
            <w:tcW w:w="3929" w:type="dxa"/>
            <w:gridSpan w:val="3"/>
            <w:vAlign w:val="center"/>
          </w:tcPr>
          <w:p w14:paraId="01DCA4D8">
            <w:pPr>
              <w:jc w:val="center"/>
              <w:rPr>
                <w:rFonts w:hint="eastAsia" w:ascii="宋体" w:hAnsi="宋体" w:eastAsia="宋体" w:cs="宋体"/>
                <w:sz w:val="24"/>
                <w:highlight w:val="none"/>
              </w:rPr>
            </w:pPr>
          </w:p>
        </w:tc>
        <w:tc>
          <w:tcPr>
            <w:tcW w:w="1356" w:type="dxa"/>
            <w:vAlign w:val="center"/>
          </w:tcPr>
          <w:p w14:paraId="2B0FD3D0">
            <w:pPr>
              <w:jc w:val="center"/>
              <w:rPr>
                <w:rFonts w:hint="eastAsia" w:ascii="宋体" w:hAnsi="宋体" w:eastAsia="宋体" w:cs="宋体"/>
                <w:sz w:val="24"/>
                <w:highlight w:val="none"/>
              </w:rPr>
            </w:pPr>
            <w:r>
              <w:rPr>
                <w:rFonts w:hint="eastAsia" w:ascii="宋体" w:hAnsi="宋体" w:eastAsia="宋体" w:cs="宋体"/>
                <w:sz w:val="24"/>
                <w:highlight w:val="none"/>
              </w:rPr>
              <w:t>邮政编码</w:t>
            </w:r>
          </w:p>
        </w:tc>
        <w:tc>
          <w:tcPr>
            <w:tcW w:w="2200" w:type="dxa"/>
            <w:gridSpan w:val="2"/>
            <w:vAlign w:val="center"/>
          </w:tcPr>
          <w:p w14:paraId="778E2A1E">
            <w:pPr>
              <w:jc w:val="center"/>
              <w:rPr>
                <w:rFonts w:hint="eastAsia" w:ascii="宋体" w:hAnsi="宋体" w:eastAsia="宋体" w:cs="宋体"/>
                <w:sz w:val="24"/>
                <w:highlight w:val="none"/>
              </w:rPr>
            </w:pPr>
          </w:p>
        </w:tc>
      </w:tr>
      <w:tr w14:paraId="4B42D9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35" w:type="dxa"/>
            <w:vMerge w:val="restart"/>
            <w:vAlign w:val="center"/>
          </w:tcPr>
          <w:p w14:paraId="15D9713D">
            <w:pPr>
              <w:jc w:val="center"/>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1035" w:type="dxa"/>
            <w:vAlign w:val="center"/>
          </w:tcPr>
          <w:p w14:paraId="6B66688F">
            <w:pPr>
              <w:jc w:val="center"/>
              <w:rPr>
                <w:rFonts w:hint="eastAsia" w:ascii="宋体" w:hAnsi="宋体" w:eastAsia="宋体" w:cs="宋体"/>
                <w:sz w:val="24"/>
                <w:highlight w:val="none"/>
              </w:rPr>
            </w:pPr>
            <w:r>
              <w:rPr>
                <w:rFonts w:hint="eastAsia" w:ascii="宋体" w:hAnsi="宋体" w:eastAsia="宋体" w:cs="宋体"/>
                <w:sz w:val="24"/>
                <w:highlight w:val="none"/>
              </w:rPr>
              <w:t>联系人</w:t>
            </w:r>
          </w:p>
        </w:tc>
        <w:tc>
          <w:tcPr>
            <w:tcW w:w="2894" w:type="dxa"/>
            <w:gridSpan w:val="2"/>
            <w:vAlign w:val="center"/>
          </w:tcPr>
          <w:p w14:paraId="4BC9EAF6">
            <w:pPr>
              <w:jc w:val="center"/>
              <w:rPr>
                <w:rFonts w:hint="eastAsia" w:ascii="宋体" w:hAnsi="宋体" w:eastAsia="宋体" w:cs="宋体"/>
                <w:sz w:val="24"/>
                <w:highlight w:val="none"/>
              </w:rPr>
            </w:pPr>
          </w:p>
        </w:tc>
        <w:tc>
          <w:tcPr>
            <w:tcW w:w="1356" w:type="dxa"/>
            <w:vAlign w:val="center"/>
          </w:tcPr>
          <w:p w14:paraId="53350D7A">
            <w:pPr>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2200" w:type="dxa"/>
            <w:gridSpan w:val="2"/>
            <w:vAlign w:val="center"/>
          </w:tcPr>
          <w:p w14:paraId="7E8B4810">
            <w:pPr>
              <w:jc w:val="center"/>
              <w:rPr>
                <w:rFonts w:hint="eastAsia" w:ascii="宋体" w:hAnsi="宋体" w:eastAsia="宋体" w:cs="宋体"/>
                <w:sz w:val="24"/>
                <w:highlight w:val="none"/>
              </w:rPr>
            </w:pPr>
          </w:p>
        </w:tc>
      </w:tr>
      <w:tr w14:paraId="162DC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35" w:type="dxa"/>
            <w:vMerge w:val="continue"/>
            <w:vAlign w:val="center"/>
          </w:tcPr>
          <w:p w14:paraId="34A7D369">
            <w:pPr>
              <w:jc w:val="center"/>
              <w:rPr>
                <w:rFonts w:hint="eastAsia" w:ascii="宋体" w:hAnsi="宋体" w:eastAsia="宋体" w:cs="宋体"/>
                <w:sz w:val="24"/>
                <w:highlight w:val="none"/>
              </w:rPr>
            </w:pPr>
          </w:p>
        </w:tc>
        <w:tc>
          <w:tcPr>
            <w:tcW w:w="1035" w:type="dxa"/>
            <w:vAlign w:val="center"/>
          </w:tcPr>
          <w:p w14:paraId="25284B67">
            <w:pPr>
              <w:jc w:val="center"/>
              <w:rPr>
                <w:rFonts w:hint="eastAsia" w:ascii="宋体" w:hAnsi="宋体" w:eastAsia="宋体" w:cs="宋体"/>
                <w:sz w:val="24"/>
                <w:highlight w:val="none"/>
              </w:rPr>
            </w:pPr>
            <w:r>
              <w:rPr>
                <w:rFonts w:hint="eastAsia" w:ascii="宋体" w:hAnsi="宋体" w:eastAsia="宋体" w:cs="宋体"/>
                <w:sz w:val="24"/>
                <w:highlight w:val="none"/>
              </w:rPr>
              <w:t>传  真</w:t>
            </w:r>
          </w:p>
        </w:tc>
        <w:tc>
          <w:tcPr>
            <w:tcW w:w="2894" w:type="dxa"/>
            <w:gridSpan w:val="2"/>
            <w:vAlign w:val="center"/>
          </w:tcPr>
          <w:p w14:paraId="2781CF8D">
            <w:pPr>
              <w:jc w:val="center"/>
              <w:rPr>
                <w:rFonts w:hint="eastAsia" w:ascii="宋体" w:hAnsi="宋体" w:eastAsia="宋体" w:cs="宋体"/>
                <w:sz w:val="24"/>
                <w:highlight w:val="none"/>
              </w:rPr>
            </w:pPr>
          </w:p>
        </w:tc>
        <w:tc>
          <w:tcPr>
            <w:tcW w:w="1356" w:type="dxa"/>
            <w:vAlign w:val="center"/>
          </w:tcPr>
          <w:p w14:paraId="53D229CF">
            <w:pPr>
              <w:jc w:val="center"/>
              <w:rPr>
                <w:rFonts w:hint="eastAsia" w:ascii="宋体" w:hAnsi="宋体" w:eastAsia="宋体" w:cs="宋体"/>
                <w:sz w:val="24"/>
                <w:highlight w:val="none"/>
              </w:rPr>
            </w:pPr>
            <w:r>
              <w:rPr>
                <w:rFonts w:hint="eastAsia" w:ascii="宋体" w:hAnsi="宋体" w:eastAsia="宋体" w:cs="宋体"/>
                <w:sz w:val="24"/>
                <w:highlight w:val="none"/>
              </w:rPr>
              <w:t>网址/邮箱</w:t>
            </w:r>
          </w:p>
        </w:tc>
        <w:tc>
          <w:tcPr>
            <w:tcW w:w="2200" w:type="dxa"/>
            <w:gridSpan w:val="2"/>
            <w:vAlign w:val="center"/>
          </w:tcPr>
          <w:p w14:paraId="2B6C4AA0">
            <w:pPr>
              <w:jc w:val="center"/>
              <w:rPr>
                <w:rFonts w:hint="eastAsia" w:ascii="宋体" w:hAnsi="宋体" w:eastAsia="宋体" w:cs="宋体"/>
                <w:sz w:val="24"/>
                <w:highlight w:val="none"/>
              </w:rPr>
            </w:pPr>
          </w:p>
        </w:tc>
      </w:tr>
      <w:tr w14:paraId="4D3173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35" w:type="dxa"/>
            <w:vAlign w:val="center"/>
          </w:tcPr>
          <w:p w14:paraId="6257F60E">
            <w:pPr>
              <w:jc w:val="center"/>
              <w:rPr>
                <w:rFonts w:hint="eastAsia" w:ascii="宋体" w:hAnsi="宋体" w:eastAsia="宋体" w:cs="宋体"/>
                <w:sz w:val="24"/>
                <w:highlight w:val="none"/>
              </w:rPr>
            </w:pPr>
            <w:r>
              <w:rPr>
                <w:rFonts w:hint="eastAsia" w:ascii="宋体" w:hAnsi="宋体" w:eastAsia="宋体" w:cs="宋体"/>
                <w:sz w:val="24"/>
                <w:highlight w:val="none"/>
              </w:rPr>
              <w:t>企业性质</w:t>
            </w:r>
          </w:p>
        </w:tc>
        <w:tc>
          <w:tcPr>
            <w:tcW w:w="7485" w:type="dxa"/>
            <w:gridSpan w:val="6"/>
            <w:vAlign w:val="center"/>
          </w:tcPr>
          <w:p w14:paraId="16ECF0A9">
            <w:pPr>
              <w:jc w:val="center"/>
              <w:rPr>
                <w:rFonts w:hint="eastAsia" w:ascii="宋体" w:hAnsi="宋体" w:eastAsia="宋体" w:cs="宋体"/>
                <w:sz w:val="24"/>
                <w:highlight w:val="none"/>
              </w:rPr>
            </w:pPr>
          </w:p>
        </w:tc>
      </w:tr>
      <w:tr w14:paraId="50E171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35" w:type="dxa"/>
            <w:vAlign w:val="center"/>
          </w:tcPr>
          <w:p w14:paraId="6F4F382B">
            <w:pPr>
              <w:jc w:val="center"/>
              <w:rPr>
                <w:rFonts w:hint="eastAsia" w:ascii="宋体" w:hAnsi="宋体" w:eastAsia="宋体" w:cs="宋体"/>
                <w:sz w:val="24"/>
                <w:highlight w:val="none"/>
              </w:rPr>
            </w:pPr>
            <w:r>
              <w:rPr>
                <w:rFonts w:hint="eastAsia" w:ascii="宋体" w:hAnsi="宋体" w:eastAsia="宋体" w:cs="宋体"/>
                <w:sz w:val="24"/>
                <w:highlight w:val="none"/>
              </w:rPr>
              <w:t>法定代表人（负责人）</w:t>
            </w:r>
          </w:p>
        </w:tc>
        <w:tc>
          <w:tcPr>
            <w:tcW w:w="1035" w:type="dxa"/>
            <w:vAlign w:val="center"/>
          </w:tcPr>
          <w:p w14:paraId="7DCBB79A">
            <w:pPr>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1696" w:type="dxa"/>
            <w:vAlign w:val="center"/>
          </w:tcPr>
          <w:p w14:paraId="47049B73">
            <w:pPr>
              <w:jc w:val="center"/>
              <w:rPr>
                <w:rFonts w:hint="eastAsia" w:ascii="宋体" w:hAnsi="宋体" w:eastAsia="宋体" w:cs="宋体"/>
                <w:sz w:val="24"/>
                <w:highlight w:val="none"/>
              </w:rPr>
            </w:pPr>
          </w:p>
        </w:tc>
        <w:tc>
          <w:tcPr>
            <w:tcW w:w="1198" w:type="dxa"/>
            <w:vAlign w:val="center"/>
          </w:tcPr>
          <w:p w14:paraId="5D3738A6">
            <w:pPr>
              <w:jc w:val="center"/>
              <w:rPr>
                <w:rFonts w:hint="eastAsia" w:ascii="宋体" w:hAnsi="宋体" w:eastAsia="宋体" w:cs="宋体"/>
                <w:sz w:val="24"/>
                <w:highlight w:val="none"/>
              </w:rPr>
            </w:pPr>
            <w:r>
              <w:rPr>
                <w:rFonts w:hint="eastAsia" w:ascii="宋体" w:hAnsi="宋体" w:eastAsia="宋体" w:cs="宋体"/>
                <w:sz w:val="24"/>
                <w:highlight w:val="none"/>
              </w:rPr>
              <w:t>技术职称</w:t>
            </w:r>
          </w:p>
        </w:tc>
        <w:tc>
          <w:tcPr>
            <w:tcW w:w="1356" w:type="dxa"/>
            <w:vAlign w:val="center"/>
          </w:tcPr>
          <w:p w14:paraId="06432C53">
            <w:pPr>
              <w:jc w:val="center"/>
              <w:rPr>
                <w:rFonts w:hint="eastAsia" w:ascii="宋体" w:hAnsi="宋体" w:eastAsia="宋体" w:cs="宋体"/>
                <w:sz w:val="24"/>
                <w:highlight w:val="none"/>
              </w:rPr>
            </w:pPr>
          </w:p>
        </w:tc>
        <w:tc>
          <w:tcPr>
            <w:tcW w:w="876" w:type="dxa"/>
            <w:vAlign w:val="center"/>
          </w:tcPr>
          <w:p w14:paraId="43DF48B8">
            <w:pPr>
              <w:jc w:val="center"/>
              <w:rPr>
                <w:rFonts w:hint="eastAsia" w:ascii="宋体" w:hAnsi="宋体" w:eastAsia="宋体" w:cs="宋体"/>
                <w:sz w:val="24"/>
                <w:highlight w:val="none"/>
              </w:rPr>
            </w:pPr>
            <w:r>
              <w:rPr>
                <w:rFonts w:hint="eastAsia" w:ascii="宋体" w:hAnsi="宋体" w:eastAsia="宋体" w:cs="宋体"/>
                <w:sz w:val="24"/>
                <w:highlight w:val="none"/>
              </w:rPr>
              <w:t>电话</w:t>
            </w:r>
          </w:p>
        </w:tc>
        <w:tc>
          <w:tcPr>
            <w:tcW w:w="1324" w:type="dxa"/>
            <w:vAlign w:val="center"/>
          </w:tcPr>
          <w:p w14:paraId="26AA2EF9">
            <w:pPr>
              <w:jc w:val="center"/>
              <w:rPr>
                <w:rFonts w:hint="eastAsia" w:ascii="宋体" w:hAnsi="宋体" w:eastAsia="宋体" w:cs="宋体"/>
                <w:sz w:val="24"/>
                <w:highlight w:val="none"/>
              </w:rPr>
            </w:pPr>
          </w:p>
        </w:tc>
      </w:tr>
      <w:tr w14:paraId="33B4B5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35" w:type="dxa"/>
            <w:vAlign w:val="center"/>
          </w:tcPr>
          <w:p w14:paraId="5202E482">
            <w:pPr>
              <w:jc w:val="center"/>
              <w:rPr>
                <w:rFonts w:hint="eastAsia" w:ascii="宋体" w:hAnsi="宋体" w:eastAsia="宋体" w:cs="宋体"/>
                <w:sz w:val="24"/>
                <w:highlight w:val="none"/>
              </w:rPr>
            </w:pPr>
            <w:r>
              <w:rPr>
                <w:rFonts w:hint="eastAsia" w:ascii="宋体" w:hAnsi="宋体" w:eastAsia="宋体" w:cs="宋体"/>
                <w:sz w:val="24"/>
                <w:highlight w:val="none"/>
              </w:rPr>
              <w:t>专项负责人</w:t>
            </w:r>
          </w:p>
        </w:tc>
        <w:tc>
          <w:tcPr>
            <w:tcW w:w="1035" w:type="dxa"/>
            <w:vAlign w:val="center"/>
          </w:tcPr>
          <w:p w14:paraId="7A05D52F">
            <w:pPr>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1696" w:type="dxa"/>
            <w:vAlign w:val="center"/>
          </w:tcPr>
          <w:p w14:paraId="02C87DB9">
            <w:pPr>
              <w:jc w:val="center"/>
              <w:rPr>
                <w:rFonts w:hint="eastAsia" w:ascii="宋体" w:hAnsi="宋体" w:eastAsia="宋体" w:cs="宋体"/>
                <w:sz w:val="24"/>
                <w:highlight w:val="none"/>
              </w:rPr>
            </w:pPr>
          </w:p>
        </w:tc>
        <w:tc>
          <w:tcPr>
            <w:tcW w:w="1198" w:type="dxa"/>
            <w:vAlign w:val="center"/>
          </w:tcPr>
          <w:p w14:paraId="2CA9B7C2">
            <w:pPr>
              <w:jc w:val="center"/>
              <w:rPr>
                <w:rFonts w:hint="eastAsia" w:ascii="宋体" w:hAnsi="宋体" w:eastAsia="宋体" w:cs="宋体"/>
                <w:sz w:val="24"/>
                <w:highlight w:val="none"/>
              </w:rPr>
            </w:pPr>
            <w:r>
              <w:rPr>
                <w:rFonts w:hint="eastAsia" w:ascii="宋体" w:hAnsi="宋体" w:eastAsia="宋体" w:cs="宋体"/>
                <w:sz w:val="24"/>
                <w:highlight w:val="none"/>
              </w:rPr>
              <w:t>技术职称</w:t>
            </w:r>
          </w:p>
        </w:tc>
        <w:tc>
          <w:tcPr>
            <w:tcW w:w="1356" w:type="dxa"/>
            <w:vAlign w:val="center"/>
          </w:tcPr>
          <w:p w14:paraId="65BC7C60">
            <w:pPr>
              <w:jc w:val="center"/>
              <w:rPr>
                <w:rFonts w:hint="eastAsia" w:ascii="宋体" w:hAnsi="宋体" w:eastAsia="宋体" w:cs="宋体"/>
                <w:sz w:val="24"/>
                <w:highlight w:val="none"/>
              </w:rPr>
            </w:pPr>
          </w:p>
        </w:tc>
        <w:tc>
          <w:tcPr>
            <w:tcW w:w="876" w:type="dxa"/>
            <w:vAlign w:val="center"/>
          </w:tcPr>
          <w:p w14:paraId="4594415B">
            <w:pPr>
              <w:jc w:val="center"/>
              <w:rPr>
                <w:rFonts w:hint="eastAsia" w:ascii="宋体" w:hAnsi="宋体" w:eastAsia="宋体" w:cs="宋体"/>
                <w:sz w:val="24"/>
                <w:highlight w:val="none"/>
              </w:rPr>
            </w:pPr>
            <w:r>
              <w:rPr>
                <w:rFonts w:hint="eastAsia" w:ascii="宋体" w:hAnsi="宋体" w:eastAsia="宋体" w:cs="宋体"/>
                <w:sz w:val="24"/>
                <w:highlight w:val="none"/>
              </w:rPr>
              <w:t>电话</w:t>
            </w:r>
          </w:p>
        </w:tc>
        <w:tc>
          <w:tcPr>
            <w:tcW w:w="1324" w:type="dxa"/>
            <w:vAlign w:val="center"/>
          </w:tcPr>
          <w:p w14:paraId="548795D0">
            <w:pPr>
              <w:jc w:val="center"/>
              <w:rPr>
                <w:rFonts w:hint="eastAsia" w:ascii="宋体" w:hAnsi="宋体" w:eastAsia="宋体" w:cs="宋体"/>
                <w:sz w:val="24"/>
                <w:highlight w:val="none"/>
              </w:rPr>
            </w:pPr>
          </w:p>
        </w:tc>
      </w:tr>
      <w:tr w14:paraId="5410F8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35" w:type="dxa"/>
            <w:vAlign w:val="center"/>
          </w:tcPr>
          <w:p w14:paraId="184D0720">
            <w:pPr>
              <w:jc w:val="center"/>
              <w:rPr>
                <w:rFonts w:hint="eastAsia" w:ascii="宋体" w:hAnsi="宋体" w:eastAsia="宋体" w:cs="宋体"/>
                <w:sz w:val="24"/>
                <w:highlight w:val="none"/>
              </w:rPr>
            </w:pPr>
            <w:r>
              <w:rPr>
                <w:rFonts w:hint="eastAsia" w:ascii="宋体" w:hAnsi="宋体" w:eastAsia="宋体" w:cs="宋体"/>
                <w:sz w:val="24"/>
                <w:highlight w:val="none"/>
              </w:rPr>
              <w:t>成立时间</w:t>
            </w:r>
          </w:p>
        </w:tc>
        <w:tc>
          <w:tcPr>
            <w:tcW w:w="2731" w:type="dxa"/>
            <w:gridSpan w:val="2"/>
            <w:vAlign w:val="center"/>
          </w:tcPr>
          <w:p w14:paraId="1644F94C">
            <w:pPr>
              <w:jc w:val="center"/>
              <w:rPr>
                <w:rFonts w:hint="eastAsia" w:ascii="宋体" w:hAnsi="宋体" w:eastAsia="宋体" w:cs="宋体"/>
                <w:sz w:val="24"/>
                <w:highlight w:val="none"/>
              </w:rPr>
            </w:pPr>
          </w:p>
        </w:tc>
        <w:tc>
          <w:tcPr>
            <w:tcW w:w="4754" w:type="dxa"/>
            <w:gridSpan w:val="4"/>
            <w:vAlign w:val="center"/>
          </w:tcPr>
          <w:p w14:paraId="3FC3E36E">
            <w:pPr>
              <w:rPr>
                <w:rFonts w:hint="eastAsia" w:ascii="宋体" w:hAnsi="宋体" w:eastAsia="宋体" w:cs="宋体"/>
                <w:sz w:val="24"/>
                <w:highlight w:val="none"/>
              </w:rPr>
            </w:pPr>
            <w:r>
              <w:rPr>
                <w:rFonts w:hint="eastAsia" w:ascii="宋体" w:hAnsi="宋体" w:eastAsia="宋体" w:cs="宋体"/>
                <w:sz w:val="24"/>
                <w:highlight w:val="none"/>
              </w:rPr>
              <w:t>员工总人数：</w:t>
            </w:r>
          </w:p>
        </w:tc>
      </w:tr>
      <w:tr w14:paraId="336F0B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2235" w:type="dxa"/>
            <w:vAlign w:val="center"/>
          </w:tcPr>
          <w:p w14:paraId="5085ABAE">
            <w:pPr>
              <w:jc w:val="center"/>
              <w:rPr>
                <w:rFonts w:hint="eastAsia" w:ascii="宋体" w:hAnsi="宋体" w:eastAsia="宋体" w:cs="宋体"/>
                <w:sz w:val="24"/>
                <w:highlight w:val="none"/>
              </w:rPr>
            </w:pPr>
            <w:r>
              <w:rPr>
                <w:rFonts w:hint="eastAsia" w:ascii="宋体" w:hAnsi="宋体" w:eastAsia="宋体" w:cs="宋体"/>
                <w:sz w:val="24"/>
                <w:highlight w:val="none"/>
              </w:rPr>
              <w:t>营业执照号</w:t>
            </w:r>
          </w:p>
        </w:tc>
        <w:tc>
          <w:tcPr>
            <w:tcW w:w="7485" w:type="dxa"/>
            <w:gridSpan w:val="6"/>
            <w:tcBorders>
              <w:bottom w:val="single" w:color="auto" w:sz="4" w:space="0"/>
            </w:tcBorders>
            <w:vAlign w:val="center"/>
          </w:tcPr>
          <w:p w14:paraId="49224398">
            <w:pPr>
              <w:jc w:val="center"/>
              <w:rPr>
                <w:rFonts w:hint="eastAsia" w:ascii="宋体" w:hAnsi="宋体" w:eastAsia="宋体" w:cs="宋体"/>
                <w:sz w:val="24"/>
                <w:highlight w:val="none"/>
              </w:rPr>
            </w:pPr>
          </w:p>
        </w:tc>
      </w:tr>
      <w:tr w14:paraId="308EB0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2235" w:type="dxa"/>
            <w:vAlign w:val="center"/>
          </w:tcPr>
          <w:p w14:paraId="2A75249F">
            <w:pPr>
              <w:jc w:val="center"/>
              <w:rPr>
                <w:rFonts w:hint="eastAsia" w:ascii="宋体" w:hAnsi="宋体" w:eastAsia="宋体" w:cs="宋体"/>
                <w:sz w:val="24"/>
                <w:highlight w:val="none"/>
              </w:rPr>
            </w:pPr>
            <w:r>
              <w:rPr>
                <w:rFonts w:hint="eastAsia" w:ascii="宋体" w:hAnsi="宋体" w:eastAsia="宋体" w:cs="宋体"/>
                <w:sz w:val="24"/>
                <w:highlight w:val="none"/>
              </w:rPr>
              <w:t>注册资金</w:t>
            </w:r>
          </w:p>
        </w:tc>
        <w:tc>
          <w:tcPr>
            <w:tcW w:w="7485" w:type="dxa"/>
            <w:gridSpan w:val="6"/>
            <w:tcBorders>
              <w:top w:val="single" w:color="auto" w:sz="4" w:space="0"/>
              <w:bottom w:val="single" w:color="auto" w:sz="4" w:space="0"/>
            </w:tcBorders>
            <w:vAlign w:val="center"/>
          </w:tcPr>
          <w:p w14:paraId="2DA3CDDD">
            <w:pPr>
              <w:jc w:val="center"/>
              <w:rPr>
                <w:rFonts w:hint="eastAsia" w:ascii="宋体" w:hAnsi="宋体" w:eastAsia="宋体" w:cs="宋体"/>
                <w:sz w:val="24"/>
                <w:highlight w:val="none"/>
              </w:rPr>
            </w:pPr>
          </w:p>
        </w:tc>
      </w:tr>
      <w:tr w14:paraId="2F3B6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2235" w:type="dxa"/>
            <w:vAlign w:val="center"/>
          </w:tcPr>
          <w:p w14:paraId="1AF20AA5">
            <w:pPr>
              <w:jc w:val="center"/>
              <w:rPr>
                <w:rFonts w:hint="eastAsia" w:ascii="宋体" w:hAnsi="宋体" w:eastAsia="宋体" w:cs="宋体"/>
                <w:sz w:val="24"/>
                <w:highlight w:val="none"/>
              </w:rPr>
            </w:pPr>
            <w:r>
              <w:rPr>
                <w:rFonts w:hint="eastAsia" w:ascii="宋体" w:hAnsi="宋体" w:eastAsia="宋体" w:cs="宋体"/>
                <w:sz w:val="24"/>
                <w:highlight w:val="none"/>
              </w:rPr>
              <w:t>开户银行</w:t>
            </w:r>
          </w:p>
        </w:tc>
        <w:tc>
          <w:tcPr>
            <w:tcW w:w="7485" w:type="dxa"/>
            <w:gridSpan w:val="6"/>
            <w:tcBorders>
              <w:top w:val="single" w:color="auto" w:sz="4" w:space="0"/>
              <w:bottom w:val="single" w:color="auto" w:sz="4" w:space="0"/>
            </w:tcBorders>
            <w:vAlign w:val="center"/>
          </w:tcPr>
          <w:p w14:paraId="59FD5678">
            <w:pPr>
              <w:jc w:val="center"/>
              <w:rPr>
                <w:rFonts w:hint="eastAsia" w:ascii="宋体" w:hAnsi="宋体" w:eastAsia="宋体" w:cs="宋体"/>
                <w:sz w:val="24"/>
                <w:highlight w:val="none"/>
              </w:rPr>
            </w:pPr>
          </w:p>
        </w:tc>
      </w:tr>
      <w:tr w14:paraId="638ED0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2235" w:type="dxa"/>
            <w:vAlign w:val="center"/>
          </w:tcPr>
          <w:p w14:paraId="18D36189">
            <w:pPr>
              <w:jc w:val="center"/>
              <w:rPr>
                <w:rFonts w:hint="eastAsia" w:ascii="宋体" w:hAnsi="宋体" w:eastAsia="宋体" w:cs="宋体"/>
                <w:sz w:val="24"/>
                <w:highlight w:val="none"/>
              </w:rPr>
            </w:pPr>
            <w:r>
              <w:rPr>
                <w:rFonts w:hint="eastAsia" w:ascii="宋体" w:hAnsi="宋体" w:eastAsia="宋体" w:cs="宋体"/>
                <w:sz w:val="24"/>
                <w:highlight w:val="none"/>
              </w:rPr>
              <w:t>银行账号</w:t>
            </w:r>
          </w:p>
        </w:tc>
        <w:tc>
          <w:tcPr>
            <w:tcW w:w="7485" w:type="dxa"/>
            <w:gridSpan w:val="6"/>
            <w:tcBorders>
              <w:top w:val="single" w:color="auto" w:sz="4" w:space="0"/>
            </w:tcBorders>
            <w:vAlign w:val="center"/>
          </w:tcPr>
          <w:p w14:paraId="62B86B05">
            <w:pPr>
              <w:jc w:val="center"/>
              <w:rPr>
                <w:rFonts w:hint="eastAsia" w:ascii="宋体" w:hAnsi="宋体" w:eastAsia="宋体" w:cs="宋体"/>
                <w:sz w:val="24"/>
                <w:highlight w:val="none"/>
              </w:rPr>
            </w:pPr>
          </w:p>
        </w:tc>
      </w:tr>
      <w:tr w14:paraId="04E447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jc w:val="center"/>
        </w:trPr>
        <w:tc>
          <w:tcPr>
            <w:tcW w:w="2235" w:type="dxa"/>
            <w:vAlign w:val="center"/>
          </w:tcPr>
          <w:p w14:paraId="499AA90A">
            <w:pPr>
              <w:jc w:val="center"/>
              <w:rPr>
                <w:rFonts w:hint="eastAsia" w:ascii="宋体" w:hAnsi="宋体" w:eastAsia="宋体" w:cs="宋体"/>
                <w:sz w:val="24"/>
                <w:highlight w:val="none"/>
              </w:rPr>
            </w:pPr>
            <w:r>
              <w:rPr>
                <w:rFonts w:hint="eastAsia" w:ascii="宋体" w:hAnsi="宋体" w:eastAsia="宋体" w:cs="宋体"/>
                <w:sz w:val="24"/>
                <w:highlight w:val="none"/>
              </w:rPr>
              <w:t>经营范围备注</w:t>
            </w:r>
          </w:p>
        </w:tc>
        <w:tc>
          <w:tcPr>
            <w:tcW w:w="7485" w:type="dxa"/>
            <w:gridSpan w:val="6"/>
            <w:vAlign w:val="center"/>
          </w:tcPr>
          <w:p w14:paraId="3C88C564">
            <w:pPr>
              <w:jc w:val="center"/>
              <w:rPr>
                <w:rFonts w:hint="eastAsia" w:ascii="宋体" w:hAnsi="宋体" w:eastAsia="宋体" w:cs="宋体"/>
                <w:sz w:val="24"/>
                <w:highlight w:val="none"/>
              </w:rPr>
            </w:pPr>
          </w:p>
        </w:tc>
      </w:tr>
    </w:tbl>
    <w:p w14:paraId="29605CD0">
      <w:pPr>
        <w:spacing w:line="440" w:lineRule="exact"/>
        <w:rPr>
          <w:rFonts w:hint="eastAsia" w:ascii="宋体" w:hAnsi="宋体" w:eastAsia="宋体" w:cs="宋体"/>
          <w:sz w:val="24"/>
          <w:highlight w:val="none"/>
        </w:rPr>
      </w:pPr>
      <w:r>
        <w:rPr>
          <w:rFonts w:hint="eastAsia" w:ascii="宋体" w:hAnsi="宋体" w:eastAsia="宋体" w:cs="宋体"/>
          <w:sz w:val="24"/>
          <w:highlight w:val="none"/>
        </w:rPr>
        <w:t>供应商签章：</w:t>
      </w:r>
    </w:p>
    <w:p w14:paraId="729E127A">
      <w:pPr>
        <w:spacing w:line="440" w:lineRule="exact"/>
        <w:rPr>
          <w:rFonts w:hint="eastAsia" w:ascii="宋体" w:hAnsi="宋体" w:eastAsia="宋体" w:cs="宋体"/>
          <w:sz w:val="24"/>
          <w:highlight w:val="none"/>
          <w:u w:val="single"/>
        </w:rPr>
      </w:pPr>
    </w:p>
    <w:p w14:paraId="531ADA53">
      <w:pPr>
        <w:spacing w:line="432" w:lineRule="auto"/>
        <w:rPr>
          <w:rFonts w:hint="eastAsia" w:ascii="宋体" w:hAnsi="宋体" w:eastAsia="宋体" w:cs="宋体"/>
          <w:sz w:val="24"/>
          <w:highlight w:val="none"/>
          <w:u w:val="single"/>
        </w:rPr>
      </w:pPr>
      <w:r>
        <w:rPr>
          <w:rFonts w:hint="eastAsia" w:ascii="宋体" w:hAnsi="宋体" w:eastAsia="宋体" w:cs="宋体"/>
          <w:szCs w:val="21"/>
          <w:highlight w:val="none"/>
        </w:rPr>
        <w:t>日期：年 月 日</w:t>
      </w:r>
      <w:r>
        <w:rPr>
          <w:rFonts w:hint="eastAsia" w:ascii="宋体" w:hAnsi="宋体" w:eastAsia="宋体" w:cs="宋体"/>
          <w:sz w:val="24"/>
          <w:highlight w:val="none"/>
        </w:rPr>
        <w:t>：</w:t>
      </w:r>
    </w:p>
    <w:p w14:paraId="670F36F6">
      <w:pPr>
        <w:pStyle w:val="5"/>
        <w:ind w:left="964" w:hanging="964" w:hangingChars="400"/>
        <w:jc w:val="center"/>
        <w:rPr>
          <w:rFonts w:hint="eastAsia" w:ascii="宋体" w:hAnsi="宋体" w:eastAsia="宋体" w:cs="宋体"/>
          <w:sz w:val="24"/>
          <w:highlight w:val="none"/>
        </w:rPr>
        <w:sectPr>
          <w:footerReference r:id="rId9" w:type="default"/>
          <w:footerReference r:id="rId10" w:type="even"/>
          <w:pgSz w:w="11906" w:h="16838"/>
          <w:pgMar w:top="1418" w:right="1247" w:bottom="1418" w:left="1814" w:header="851" w:footer="992" w:gutter="0"/>
          <w:pgBorders>
            <w:top w:val="none" w:sz="0" w:space="0"/>
            <w:left w:val="none" w:sz="0" w:space="0"/>
            <w:bottom w:val="none" w:sz="0" w:space="0"/>
            <w:right w:val="none" w:sz="0" w:space="0"/>
          </w:pgBorders>
          <w:cols w:space="425" w:num="1"/>
          <w:docGrid w:type="lines" w:linePitch="312" w:charSpace="0"/>
        </w:sectPr>
      </w:pPr>
    </w:p>
    <w:p w14:paraId="106B0AB6">
      <w:pPr>
        <w:pStyle w:val="42"/>
        <w:spacing w:before="312"/>
        <w:rPr>
          <w:rFonts w:hint="eastAsia" w:ascii="宋体" w:hAnsi="宋体" w:eastAsia="宋体" w:cs="宋体"/>
          <w:highlight w:val="none"/>
        </w:rPr>
      </w:pPr>
      <w:bookmarkStart w:id="80" w:name="_Toc14086"/>
      <w:r>
        <w:rPr>
          <w:rFonts w:hint="eastAsia" w:ascii="宋体" w:hAnsi="宋体" w:eastAsia="宋体" w:cs="宋体"/>
          <w:highlight w:val="none"/>
          <w:lang w:val="en-US" w:eastAsia="zh-CN"/>
        </w:rPr>
        <w:t>7</w:t>
      </w:r>
      <w:r>
        <w:rPr>
          <w:rFonts w:hint="eastAsia" w:ascii="宋体" w:hAnsi="宋体" w:eastAsia="宋体" w:cs="宋体"/>
          <w:highlight w:val="none"/>
        </w:rPr>
        <w:t>. 技术文件</w:t>
      </w:r>
      <w:bookmarkEnd w:id="80"/>
    </w:p>
    <w:p w14:paraId="68C1473D">
      <w:pPr>
        <w:spacing w:line="432" w:lineRule="auto"/>
        <w:rPr>
          <w:rFonts w:hint="eastAsia" w:ascii="宋体" w:hAnsi="宋体" w:eastAsia="宋体" w:cs="宋体"/>
          <w:sz w:val="24"/>
          <w:highlight w:val="none"/>
        </w:rPr>
      </w:pPr>
      <w:r>
        <w:rPr>
          <w:rFonts w:hint="eastAsia" w:ascii="宋体" w:hAnsi="宋体" w:eastAsia="宋体" w:cs="宋体"/>
          <w:sz w:val="24"/>
          <w:highlight w:val="none"/>
        </w:rPr>
        <w:t>内容包括：</w:t>
      </w:r>
    </w:p>
    <w:p w14:paraId="2D9E5D34">
      <w:pPr>
        <w:spacing w:line="432" w:lineRule="auto"/>
        <w:rPr>
          <w:rFonts w:hint="eastAsia" w:ascii="宋体" w:hAnsi="宋体" w:eastAsia="宋体" w:cs="宋体"/>
          <w:sz w:val="24"/>
          <w:highlight w:val="none"/>
        </w:rPr>
      </w:pPr>
      <w:r>
        <w:rPr>
          <w:rFonts w:hint="eastAsia" w:ascii="宋体" w:hAnsi="宋体" w:eastAsia="宋体" w:cs="宋体"/>
          <w:sz w:val="24"/>
          <w:highlight w:val="none"/>
        </w:rPr>
        <w:t>1、承包方案（如果有）</w:t>
      </w:r>
    </w:p>
    <w:p w14:paraId="0946DA78">
      <w:pPr>
        <w:spacing w:line="400" w:lineRule="exact"/>
        <w:rPr>
          <w:rFonts w:hint="eastAsia" w:ascii="宋体" w:hAnsi="宋体" w:eastAsia="宋体" w:cs="宋体"/>
          <w:sz w:val="24"/>
          <w:highlight w:val="none"/>
          <w:u w:val="single"/>
        </w:rPr>
      </w:pPr>
      <w:r>
        <w:rPr>
          <w:rFonts w:hint="eastAsia" w:ascii="宋体" w:hAnsi="宋体" w:eastAsia="宋体" w:cs="宋体"/>
          <w:sz w:val="24"/>
          <w:highlight w:val="none"/>
        </w:rPr>
        <w:t>2、供应商认为需要说明的其他内容（供应商视需要自行编写）</w:t>
      </w:r>
    </w:p>
    <w:p w14:paraId="26E20390">
      <w:pPr>
        <w:spacing w:line="432" w:lineRule="auto"/>
        <w:rPr>
          <w:rFonts w:hint="eastAsia" w:ascii="宋体" w:hAnsi="宋体" w:eastAsia="宋体" w:cs="宋体"/>
          <w:sz w:val="24"/>
          <w:highlight w:val="none"/>
        </w:rPr>
        <w:sectPr>
          <w:pgSz w:w="11906" w:h="16838"/>
          <w:pgMar w:top="1418" w:right="1247" w:bottom="1418" w:left="1814" w:header="851" w:footer="992" w:gutter="0"/>
          <w:pgBorders>
            <w:top w:val="none" w:sz="0" w:space="0"/>
            <w:left w:val="none" w:sz="0" w:space="0"/>
            <w:bottom w:val="none" w:sz="0" w:space="0"/>
            <w:right w:val="none" w:sz="0" w:space="0"/>
          </w:pgBorders>
          <w:cols w:space="425" w:num="1"/>
          <w:docGrid w:type="lines" w:linePitch="312" w:charSpace="0"/>
        </w:sectPr>
      </w:pPr>
    </w:p>
    <w:p w14:paraId="20CC72A6">
      <w:pPr>
        <w:pStyle w:val="42"/>
        <w:spacing w:before="240"/>
        <w:rPr>
          <w:rFonts w:hint="eastAsia" w:ascii="宋体" w:hAnsi="宋体" w:eastAsia="宋体" w:cs="宋体"/>
          <w:highlight w:val="none"/>
        </w:rPr>
      </w:pPr>
      <w:bookmarkStart w:id="81" w:name="_Toc293934829"/>
      <w:bookmarkStart w:id="82" w:name="_Toc3735"/>
      <w:r>
        <w:rPr>
          <w:rFonts w:hint="eastAsia" w:ascii="宋体" w:hAnsi="宋体" w:eastAsia="宋体" w:cs="宋体"/>
          <w:highlight w:val="none"/>
          <w:lang w:val="en-US" w:eastAsia="zh-CN"/>
        </w:rPr>
        <w:t>8</w:t>
      </w:r>
      <w:r>
        <w:rPr>
          <w:rFonts w:hint="eastAsia" w:ascii="宋体" w:hAnsi="宋体" w:eastAsia="宋体" w:cs="宋体"/>
          <w:highlight w:val="none"/>
        </w:rPr>
        <w:t>. 资格证明文件</w:t>
      </w:r>
      <w:bookmarkEnd w:id="81"/>
      <w:bookmarkEnd w:id="82"/>
    </w:p>
    <w:p w14:paraId="17F533F9">
      <w:pPr>
        <w:pStyle w:val="11"/>
        <w:rPr>
          <w:rFonts w:hint="eastAsia" w:ascii="宋体" w:hAnsi="宋体" w:eastAsia="宋体" w:cs="宋体"/>
          <w:highlight w:val="none"/>
        </w:rPr>
      </w:pPr>
    </w:p>
    <w:p w14:paraId="5DCCFF69">
      <w:pPr>
        <w:pStyle w:val="42"/>
        <w:spacing w:before="240"/>
        <w:rPr>
          <w:rFonts w:hint="eastAsia" w:ascii="宋体" w:hAnsi="宋体" w:eastAsia="宋体" w:cs="宋体"/>
          <w:highlight w:val="none"/>
        </w:rPr>
      </w:pPr>
      <w:bookmarkStart w:id="83" w:name="_Toc26683"/>
      <w:bookmarkStart w:id="84" w:name="_Toc157775629"/>
      <w:r>
        <w:rPr>
          <w:rFonts w:hint="eastAsia" w:ascii="宋体" w:hAnsi="宋体" w:eastAsia="宋体" w:cs="宋体"/>
          <w:highlight w:val="none"/>
          <w:lang w:val="en-US" w:eastAsia="zh-CN"/>
        </w:rPr>
        <w:t>8</w:t>
      </w:r>
      <w:r>
        <w:rPr>
          <w:rFonts w:hint="eastAsia" w:ascii="宋体" w:hAnsi="宋体" w:eastAsia="宋体" w:cs="宋体"/>
          <w:highlight w:val="none"/>
        </w:rPr>
        <w:t>.1、江西省政府采购供应商资格信用承诺函</w:t>
      </w:r>
      <w:bookmarkEnd w:id="83"/>
      <w:bookmarkEnd w:id="84"/>
    </w:p>
    <w:p w14:paraId="7B1377C9">
      <w:pPr>
        <w:pStyle w:val="53"/>
        <w:spacing w:line="610" w:lineRule="exact"/>
        <w:ind w:firstLine="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致（采购人或政府采购代理机构）:</w:t>
      </w:r>
    </w:p>
    <w:p w14:paraId="74DB68E8">
      <w:pPr>
        <w:pStyle w:val="53"/>
        <w:spacing w:line="610" w:lineRule="exact"/>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单位名称（自然人姓名）:</w:t>
      </w:r>
    </w:p>
    <w:p w14:paraId="44C287B9">
      <w:pPr>
        <w:pStyle w:val="53"/>
        <w:spacing w:line="610" w:lineRule="exact"/>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统一社会信用代码（身份证号码）：</w:t>
      </w:r>
    </w:p>
    <w:p w14:paraId="60CC24B2">
      <w:pPr>
        <w:pStyle w:val="53"/>
        <w:spacing w:line="610" w:lineRule="exact"/>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法定代表人（负责人）：</w:t>
      </w:r>
    </w:p>
    <w:p w14:paraId="60A80405">
      <w:pPr>
        <w:pStyle w:val="53"/>
        <w:spacing w:line="610" w:lineRule="exact"/>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联系地址和电话：</w:t>
      </w:r>
    </w:p>
    <w:p w14:paraId="2125C0AD">
      <w:pPr>
        <w:pStyle w:val="53"/>
        <w:spacing w:line="6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1A9C97ED">
      <w:pPr>
        <w:pStyle w:val="53"/>
        <w:spacing w:line="61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（一）我单位（本人）符合采购文件要求以及《中华人民共和国政府采购法》第二十二条规定的条件：</w:t>
      </w:r>
    </w:p>
    <w:p w14:paraId="51B9B9E8">
      <w:pPr>
        <w:pStyle w:val="53"/>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具有独立承担民事责任的能力；</w:t>
      </w:r>
    </w:p>
    <w:p w14:paraId="2864F1FC">
      <w:pPr>
        <w:pStyle w:val="53"/>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w:t>
      </w:r>
    </w:p>
    <w:p w14:paraId="1EFC44A4">
      <w:pPr>
        <w:pStyle w:val="53"/>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具有履行合同所必需的设备和专业技术能力；</w:t>
      </w:r>
    </w:p>
    <w:p w14:paraId="78E59683">
      <w:pPr>
        <w:pStyle w:val="53"/>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有依法缴纳税收和社会保障资金的良好记录；</w:t>
      </w:r>
    </w:p>
    <w:p w14:paraId="4AE76928">
      <w:pPr>
        <w:pStyle w:val="53"/>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参加政府采购活动前三年内，在经营活动中没有重大违法记录；</w:t>
      </w:r>
    </w:p>
    <w:p w14:paraId="49FCDAFC">
      <w:pPr>
        <w:pStyle w:val="53"/>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符合法律、行政法规规定的其他条件。</w:t>
      </w:r>
    </w:p>
    <w:p w14:paraId="1BB29E4D">
      <w:pPr>
        <w:pStyle w:val="53"/>
        <w:spacing w:line="653"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（二）我单位（本人）未被列入严重失信主体名单、失信被执行人、</w:t>
      </w:r>
      <w:r>
        <w:rPr>
          <w:rFonts w:hint="eastAsia" w:ascii="宋体" w:hAnsi="宋体" w:eastAsia="宋体" w:cs="宋体"/>
          <w:color w:val="auto"/>
          <w:sz w:val="24"/>
          <w:szCs w:val="24"/>
          <w:highlight w:val="none"/>
          <w:lang w:val="en-US" w:eastAsia="zh-CN"/>
        </w:rPr>
        <w:t>税收违法黑名单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重大</w:t>
      </w:r>
      <w:r>
        <w:rPr>
          <w:rFonts w:hint="eastAsia" w:ascii="宋体" w:hAnsi="宋体" w:eastAsia="宋体" w:cs="宋体"/>
          <w:color w:val="auto"/>
          <w:sz w:val="24"/>
          <w:szCs w:val="24"/>
          <w:highlight w:val="none"/>
        </w:rPr>
        <w:t>税收违法</w:t>
      </w:r>
      <w:r>
        <w:rPr>
          <w:rFonts w:hint="eastAsia" w:ascii="宋体" w:hAnsi="宋体" w:eastAsia="宋体" w:cs="宋体"/>
          <w:color w:val="auto"/>
          <w:sz w:val="24"/>
          <w:szCs w:val="24"/>
          <w:highlight w:val="none"/>
          <w:lang w:val="en-US" w:eastAsia="zh-CN"/>
        </w:rPr>
        <w:t>失信主体）</w:t>
      </w:r>
      <w:r>
        <w:rPr>
          <w:rFonts w:hint="eastAsia" w:ascii="宋体" w:hAnsi="宋体" w:eastAsia="宋体" w:cs="宋体"/>
          <w:color w:val="auto"/>
          <w:sz w:val="24"/>
          <w:szCs w:val="24"/>
          <w:highlight w:val="none"/>
        </w:rPr>
        <w:t>、政府采购严重违法失信行为记录名单。</w:t>
      </w:r>
    </w:p>
    <w:p w14:paraId="335E1B1D">
      <w:pPr>
        <w:pStyle w:val="53"/>
        <w:spacing w:after="580" w:line="605"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rFonts w:hint="eastAsia" w:ascii="宋体" w:hAnsi="宋体" w:eastAsia="宋体" w:cs="宋体"/>
          <w:color w:val="auto"/>
          <w:sz w:val="24"/>
          <w:szCs w:val="24"/>
          <w:highlight w:val="none"/>
          <w:lang w:val="zh-CN" w:eastAsia="zh-CN" w:bidi="zh-CN"/>
        </w:rPr>
        <w:t>“提供</w:t>
      </w:r>
      <w:r>
        <w:rPr>
          <w:rFonts w:hint="eastAsia" w:ascii="宋体" w:hAnsi="宋体" w:eastAsia="宋体" w:cs="宋体"/>
          <w:color w:val="auto"/>
          <w:sz w:val="24"/>
          <w:szCs w:val="24"/>
          <w:highlight w:val="none"/>
        </w:rPr>
        <w:t>虚假材料谋取中标、成交”违法情形。经调查属实的，自觉接受政府采购行政监管部门按照《中华人民共和国政府采购法》第七十七条：</w:t>
      </w:r>
      <w:r>
        <w:rPr>
          <w:rFonts w:hint="eastAsia" w:ascii="宋体" w:hAnsi="宋体" w:eastAsia="宋体" w:cs="宋体"/>
          <w:color w:val="auto"/>
          <w:sz w:val="24"/>
          <w:szCs w:val="24"/>
          <w:highlight w:val="none"/>
          <w:lang w:val="zh-CN" w:eastAsia="zh-CN" w:bidi="zh-CN"/>
        </w:rPr>
        <w:t>“处</w:t>
      </w:r>
      <w:r>
        <w:rPr>
          <w:rFonts w:hint="eastAsia" w:ascii="宋体" w:hAnsi="宋体" w:eastAsia="宋体" w:cs="宋体"/>
          <w:color w:val="auto"/>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21DAC06C">
      <w:pPr>
        <w:pStyle w:val="53"/>
        <w:spacing w:line="605" w:lineRule="exact"/>
        <w:ind w:firstLine="0"/>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供应商名称（单位公章）：</w:t>
      </w:r>
    </w:p>
    <w:p w14:paraId="5059B944">
      <w:pPr>
        <w:pStyle w:val="53"/>
        <w:spacing w:line="605" w:lineRule="exact"/>
        <w:ind w:firstLine="0"/>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或自然人（签字）：</w:t>
      </w:r>
    </w:p>
    <w:p w14:paraId="0192926C">
      <w:pPr>
        <w:pStyle w:val="53"/>
        <w:spacing w:after="520" w:line="605" w:lineRule="exact"/>
        <w:ind w:firstLine="0"/>
        <w:jc w:val="right"/>
        <w:rPr>
          <w:rFonts w:hint="eastAsia" w:ascii="宋体" w:hAnsi="宋体" w:eastAsia="宋体" w:cs="宋体"/>
          <w:color w:val="auto"/>
          <w:sz w:val="24"/>
          <w:szCs w:val="24"/>
          <w:highlight w:val="none"/>
          <w:lang w:val="en-US" w:eastAsia="zh-CN"/>
        </w:rPr>
      </w:pPr>
    </w:p>
    <w:p w14:paraId="0BCC9ACA">
      <w:pPr>
        <w:pStyle w:val="53"/>
        <w:spacing w:after="520" w:line="605"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年月日</w:t>
      </w:r>
    </w:p>
    <w:p w14:paraId="243C1B83">
      <w:pPr>
        <w:pStyle w:val="53"/>
        <w:keepNext w:val="0"/>
        <w:keepLines w:val="0"/>
        <w:pageBreakBefore w:val="0"/>
        <w:widowControl w:val="0"/>
        <w:kinsoku w:val="0"/>
        <w:wordWrap/>
        <w:overflowPunct/>
        <w:topLinePunct w:val="0"/>
        <w:autoSpaceDE w:val="0"/>
        <w:autoSpaceDN w:val="0"/>
        <w:bidi w:val="0"/>
        <w:adjustRightInd w:val="0"/>
        <w:snapToGrid w:val="0"/>
        <w:spacing w:line="605"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E68DB0C">
      <w:pPr>
        <w:pStyle w:val="53"/>
        <w:keepNext w:val="0"/>
        <w:keepLines w:val="0"/>
        <w:pageBreakBefore w:val="0"/>
        <w:widowControl w:val="0"/>
        <w:kinsoku w:val="0"/>
        <w:wordWrap/>
        <w:overflowPunct/>
        <w:topLinePunct w:val="0"/>
        <w:autoSpaceDE w:val="0"/>
        <w:autoSpaceDN w:val="0"/>
        <w:bidi w:val="0"/>
        <w:adjustRightInd w:val="0"/>
        <w:snapToGrid w:val="0"/>
        <w:spacing w:line="605"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我单位（本人）专指参加政府采购活动的供应商（含自然人）</w:t>
      </w:r>
    </w:p>
    <w:p w14:paraId="62F509FC">
      <w:pPr>
        <w:pStyle w:val="53"/>
        <w:keepNext w:val="0"/>
        <w:keepLines w:val="0"/>
        <w:pageBreakBefore w:val="0"/>
        <w:widowControl w:val="0"/>
        <w:kinsoku w:val="0"/>
        <w:wordWrap/>
        <w:overflowPunct/>
        <w:topLinePunct w:val="0"/>
        <w:autoSpaceDE w:val="0"/>
        <w:autoSpaceDN w:val="0"/>
        <w:bidi w:val="0"/>
        <w:adjustRightInd w:val="0"/>
        <w:snapToGrid w:val="0"/>
        <w:spacing w:line="605"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2、供应商须在投标文件中按此模板提供承诺函，既未提供上述承诺函又未提供对应事项证明材料的，视为未实质响应招标文件要求，按无效投标处理。</w:t>
      </w:r>
    </w:p>
    <w:p w14:paraId="190404D4">
      <w:pPr>
        <w:pStyle w:val="53"/>
        <w:keepNext w:val="0"/>
        <w:keepLines w:val="0"/>
        <w:pageBreakBefore w:val="0"/>
        <w:widowControl w:val="0"/>
        <w:kinsoku w:val="0"/>
        <w:wordWrap/>
        <w:overflowPunct/>
        <w:topLinePunct w:val="0"/>
        <w:autoSpaceDE w:val="0"/>
        <w:autoSpaceDN w:val="0"/>
        <w:bidi w:val="0"/>
        <w:adjustRightInd w:val="0"/>
        <w:snapToGrid w:val="0"/>
        <w:spacing w:line="605"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3、采购人可以在公告中标结果后、签订政府采购合同前, 核实中标供应商所作信用承诺事项的真实性。</w:t>
      </w:r>
    </w:p>
    <w:p w14:paraId="2548216B">
      <w:pPr>
        <w:pStyle w:val="53"/>
        <w:spacing w:after="580" w:line="605"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750BA10">
      <w:pPr>
        <w:spacing w:before="78" w:line="360" w:lineRule="auto"/>
        <w:ind w:firstLine="482" w:firstLineChars="200"/>
        <w:outlineLvl w:val="1"/>
        <w:rPr>
          <w:rFonts w:hint="eastAsia" w:ascii="宋体" w:hAnsi="宋体" w:eastAsia="宋体" w:cs="宋体"/>
          <w:b/>
          <w:bCs/>
          <w:sz w:val="24"/>
          <w:highlight w:val="none"/>
        </w:rPr>
      </w:pPr>
      <w:bookmarkStart w:id="85" w:name="_Toc157775630"/>
      <w:bookmarkStart w:id="86" w:name="_Toc9398"/>
      <w:r>
        <w:rPr>
          <w:rFonts w:hint="eastAsia" w:ascii="宋体" w:hAnsi="宋体" w:eastAsia="宋体" w:cs="宋体"/>
          <w:b/>
          <w:bCs/>
          <w:sz w:val="24"/>
          <w:highlight w:val="none"/>
        </w:rPr>
        <w:t>说明：如投标人提供了《江西省政府采购供应商资格信用承诺函》的，视同提供了“满足《中华人民共和国政府采购法》第二十二条规定须提供的证明文件”中</w:t>
      </w:r>
      <w:r>
        <w:rPr>
          <w:rFonts w:hint="eastAsia" w:ascii="宋体" w:hAnsi="宋体" w:eastAsia="宋体" w:cs="宋体"/>
          <w:b/>
          <w:bCs/>
          <w:sz w:val="24"/>
          <w:highlight w:val="none"/>
          <w:lang w:val="en-US" w:eastAsia="zh-CN"/>
        </w:rPr>
        <w:t>8.2</w:t>
      </w:r>
      <w:r>
        <w:rPr>
          <w:rFonts w:hint="eastAsia" w:ascii="宋体" w:hAnsi="宋体" w:eastAsia="宋体" w:cs="宋体"/>
          <w:b/>
          <w:bCs/>
          <w:sz w:val="24"/>
          <w:highlight w:val="none"/>
        </w:rPr>
        <w:t>～</w:t>
      </w:r>
      <w:r>
        <w:rPr>
          <w:rFonts w:hint="eastAsia" w:ascii="宋体" w:hAnsi="宋体" w:eastAsia="宋体" w:cs="宋体"/>
          <w:b/>
          <w:sz w:val="24"/>
          <w:highlight w:val="none"/>
          <w:lang w:val="en-US" w:eastAsia="zh-CN"/>
        </w:rPr>
        <w:t>8.</w:t>
      </w:r>
      <w:r>
        <w:rPr>
          <w:rFonts w:hint="eastAsia" w:ascii="宋体" w:hAnsi="宋体" w:eastAsia="宋体" w:cs="宋体"/>
          <w:b/>
          <w:bCs/>
          <w:sz w:val="24"/>
          <w:highlight w:val="none"/>
          <w:lang w:val="en-US" w:eastAsia="zh-CN"/>
        </w:rPr>
        <w:t>6</w:t>
      </w:r>
      <w:r>
        <w:rPr>
          <w:rFonts w:hint="eastAsia" w:ascii="宋体" w:hAnsi="宋体" w:eastAsia="宋体" w:cs="宋体"/>
          <w:b/>
          <w:bCs/>
          <w:sz w:val="24"/>
          <w:highlight w:val="none"/>
        </w:rPr>
        <w:t>资格要求的证明材料，无需再提供下列项证明文件。</w:t>
      </w:r>
      <w:bookmarkEnd w:id="85"/>
      <w:bookmarkEnd w:id="86"/>
    </w:p>
    <w:p w14:paraId="281D25FA">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val="en-US" w:eastAsia="zh-CN"/>
        </w:rPr>
        <w:t>8.2</w:t>
      </w:r>
      <w:r>
        <w:rPr>
          <w:rFonts w:hint="eastAsia" w:ascii="宋体" w:hAnsi="宋体" w:eastAsia="宋体" w:cs="宋体"/>
          <w:b/>
          <w:sz w:val="24"/>
          <w:highlight w:val="none"/>
        </w:rPr>
        <w:t>、</w:t>
      </w:r>
      <w:r>
        <w:rPr>
          <w:rFonts w:hint="eastAsia" w:ascii="宋体" w:hAnsi="宋体" w:eastAsia="宋体" w:cs="宋体"/>
          <w:b/>
          <w:bCs/>
          <w:sz w:val="24"/>
          <w:highlight w:val="none"/>
        </w:rPr>
        <w:t>具有独立承担民事责任的能力的资格证明文件</w:t>
      </w:r>
    </w:p>
    <w:p w14:paraId="7B9F673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w:t>
      </w:r>
    </w:p>
    <w:p w14:paraId="0F57945D">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highlight w:val="none"/>
          <w:lang w:val="en-US" w:eastAsia="zh-CN"/>
        </w:rPr>
        <w:t>8.3</w:t>
      </w:r>
      <w:r>
        <w:rPr>
          <w:rFonts w:hint="eastAsia" w:ascii="宋体" w:hAnsi="宋体" w:eastAsia="宋体" w:cs="宋体"/>
          <w:b/>
          <w:sz w:val="24"/>
          <w:szCs w:val="24"/>
          <w:highlight w:val="none"/>
        </w:rPr>
        <w:t>、具有良好的商业信誉和健全的财务会计制度的证明文件</w:t>
      </w:r>
    </w:p>
    <w:p w14:paraId="3E6A1F3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供应商是法人的，提供谈判前</w:t>
      </w:r>
      <w:r>
        <w:rPr>
          <w:rFonts w:hint="eastAsia" w:ascii="宋体" w:hAnsi="宋体" w:eastAsia="宋体" w:cs="宋体"/>
          <w:sz w:val="24"/>
          <w:highlight w:val="none"/>
        </w:rPr>
        <w:t>二</w:t>
      </w:r>
      <w:r>
        <w:rPr>
          <w:rFonts w:hint="eastAsia" w:ascii="宋体" w:hAnsi="宋体" w:eastAsia="宋体" w:cs="宋体"/>
          <w:sz w:val="24"/>
          <w:szCs w:val="24"/>
          <w:highlight w:val="none"/>
        </w:rPr>
        <w:t>个年度内任一年度经审计的财务状况报告，或在谈判前</w:t>
      </w:r>
      <w:r>
        <w:rPr>
          <w:rFonts w:hint="eastAsia" w:ascii="宋体" w:hAnsi="宋体" w:eastAsia="宋体" w:cs="宋体"/>
          <w:sz w:val="24"/>
          <w:highlight w:val="none"/>
        </w:rPr>
        <w:t>三</w:t>
      </w:r>
      <w:r>
        <w:rPr>
          <w:rFonts w:hint="eastAsia" w:ascii="宋体" w:hAnsi="宋体" w:eastAsia="宋体" w:cs="宋体"/>
          <w:sz w:val="24"/>
          <w:szCs w:val="24"/>
          <w:highlight w:val="none"/>
        </w:rPr>
        <w:t>个月内其基本开户银行出具的资信证明；其他组织和自然人，没有经审计的财务报告，可以提供在谈判前</w:t>
      </w:r>
      <w:r>
        <w:rPr>
          <w:rFonts w:hint="eastAsia" w:ascii="宋体" w:hAnsi="宋体" w:eastAsia="宋体" w:cs="宋体"/>
          <w:sz w:val="24"/>
          <w:highlight w:val="none"/>
        </w:rPr>
        <w:t>三</w:t>
      </w:r>
      <w:r>
        <w:rPr>
          <w:rFonts w:hint="eastAsia" w:ascii="宋体" w:hAnsi="宋体" w:eastAsia="宋体" w:cs="宋体"/>
          <w:sz w:val="24"/>
          <w:szCs w:val="24"/>
          <w:highlight w:val="none"/>
        </w:rPr>
        <w:t>个月内银行出具的资信证明；个体工商户提供谈判前</w:t>
      </w:r>
      <w:r>
        <w:rPr>
          <w:rFonts w:hint="eastAsia" w:ascii="宋体" w:hAnsi="宋体" w:eastAsia="宋体" w:cs="宋体"/>
          <w:sz w:val="24"/>
          <w:highlight w:val="none"/>
        </w:rPr>
        <w:t>三</w:t>
      </w:r>
      <w:r>
        <w:rPr>
          <w:rFonts w:hint="eastAsia" w:ascii="宋体" w:hAnsi="宋体" w:eastAsia="宋体" w:cs="宋体"/>
          <w:sz w:val="24"/>
          <w:szCs w:val="24"/>
          <w:highlight w:val="none"/>
        </w:rPr>
        <w:t xml:space="preserve">个月内中国人民银行征信中心开具个人信用报告。 </w:t>
      </w:r>
    </w:p>
    <w:p w14:paraId="373DA3C8">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highlight w:val="none"/>
          <w:lang w:val="en-US" w:eastAsia="zh-CN"/>
        </w:rPr>
        <w:t>8.4</w:t>
      </w:r>
      <w:r>
        <w:rPr>
          <w:rFonts w:hint="eastAsia" w:ascii="宋体" w:hAnsi="宋体" w:eastAsia="宋体" w:cs="宋体"/>
          <w:b/>
          <w:sz w:val="24"/>
          <w:szCs w:val="24"/>
          <w:highlight w:val="none"/>
        </w:rPr>
        <w:t>、具有履行合同所必须的设备和专业技术能力的证明文件</w:t>
      </w:r>
    </w:p>
    <w:p w14:paraId="4B2B717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供应商提供具有履行合同所必须的设备和专业技术能力的承诺函；</w:t>
      </w:r>
      <w:r>
        <w:rPr>
          <w:rFonts w:hint="eastAsia" w:ascii="宋体" w:hAnsi="宋体" w:eastAsia="宋体" w:cs="宋体"/>
          <w:kern w:val="0"/>
          <w:sz w:val="24"/>
          <w:szCs w:val="24"/>
          <w:highlight w:val="none"/>
        </w:rPr>
        <w:t>（格式自拟）</w:t>
      </w:r>
    </w:p>
    <w:p w14:paraId="275C9965">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highlight w:val="none"/>
          <w:lang w:val="en-US" w:eastAsia="zh-CN"/>
        </w:rPr>
        <w:t>8.5</w:t>
      </w:r>
      <w:r>
        <w:rPr>
          <w:rFonts w:hint="eastAsia" w:ascii="宋体" w:hAnsi="宋体" w:eastAsia="宋体" w:cs="宋体"/>
          <w:b/>
          <w:sz w:val="24"/>
          <w:szCs w:val="24"/>
          <w:highlight w:val="none"/>
        </w:rPr>
        <w:t>、有依法缴纳税收和社会保障资金的良好记录的证明文件</w:t>
      </w:r>
    </w:p>
    <w:p w14:paraId="2B571F6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税务登记证（实行“统一社会信用代码”的不需单独提供）和谈判前</w:t>
      </w:r>
      <w:r>
        <w:rPr>
          <w:rFonts w:hint="eastAsia" w:ascii="宋体" w:hAnsi="宋体" w:eastAsia="宋体" w:cs="宋体"/>
          <w:sz w:val="24"/>
          <w:highlight w:val="none"/>
        </w:rPr>
        <w:t>六</w:t>
      </w:r>
      <w:r>
        <w:rPr>
          <w:rFonts w:hint="eastAsia" w:ascii="宋体" w:hAnsi="宋体" w:eastAsia="宋体" w:cs="宋体"/>
          <w:sz w:val="24"/>
          <w:szCs w:val="24"/>
          <w:highlight w:val="none"/>
        </w:rPr>
        <w:t>个月内任意一个月的企业缴税凭证或证明；</w:t>
      </w:r>
    </w:p>
    <w:p w14:paraId="12919A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谈判前</w:t>
      </w:r>
      <w:r>
        <w:rPr>
          <w:rFonts w:hint="eastAsia" w:ascii="宋体" w:hAnsi="宋体" w:eastAsia="宋体" w:cs="宋体"/>
          <w:sz w:val="24"/>
          <w:highlight w:val="none"/>
        </w:rPr>
        <w:t>六</w:t>
      </w:r>
      <w:r>
        <w:rPr>
          <w:rFonts w:hint="eastAsia" w:ascii="宋体" w:hAnsi="宋体" w:eastAsia="宋体" w:cs="宋体"/>
          <w:sz w:val="24"/>
          <w:szCs w:val="24"/>
          <w:highlight w:val="none"/>
        </w:rPr>
        <w:t>个月内任意一个月的缴纳社会保障资金的凭证或当地社会保障局出具的缴纳明细。依法免税或不需要缴纳社会保障资金的供应商，应当提供相关文件证明其依法免税或不需要缴纳社会保障资金。</w:t>
      </w:r>
    </w:p>
    <w:p w14:paraId="2CB9018A">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highlight w:val="none"/>
          <w:lang w:val="en-US" w:eastAsia="zh-CN"/>
        </w:rPr>
        <w:t>8.6</w:t>
      </w:r>
      <w:r>
        <w:rPr>
          <w:rFonts w:hint="eastAsia" w:ascii="宋体" w:hAnsi="宋体" w:eastAsia="宋体" w:cs="宋体"/>
          <w:b/>
          <w:sz w:val="24"/>
          <w:szCs w:val="24"/>
          <w:highlight w:val="none"/>
        </w:rPr>
        <w:t>、参加采购前三年内,在经营活动中没有重大违法记录的证明文件</w:t>
      </w:r>
    </w:p>
    <w:p w14:paraId="44ADF77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参加采购前三年内,在经营活动中没有重大违法记录承诺函；</w:t>
      </w:r>
      <w:r>
        <w:rPr>
          <w:rFonts w:hint="eastAsia" w:ascii="宋体" w:hAnsi="宋体" w:eastAsia="宋体" w:cs="宋体"/>
          <w:kern w:val="0"/>
          <w:sz w:val="24"/>
          <w:szCs w:val="24"/>
          <w:highlight w:val="none"/>
        </w:rPr>
        <w:t>（格式自拟）</w:t>
      </w:r>
    </w:p>
    <w:p w14:paraId="257CE6B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重大违法记录，是指供应商因违法经营受到刑事处罚或者责令停产停业、吊销许可证或者执照、较大罚款等行政处罚。</w:t>
      </w:r>
    </w:p>
    <w:p w14:paraId="79B15048">
      <w:pPr>
        <w:widowControl w:val="0"/>
        <w:spacing w:line="560" w:lineRule="exact"/>
        <w:ind w:left="323" w:leftChars="154" w:right="99" w:firstLine="482" w:firstLineChars="200"/>
        <w:jc w:val="both"/>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备注：本项目对特定资格要求有规定并需要提供证明材料的，从其规定，与本条款不冲突。</w:t>
      </w:r>
    </w:p>
    <w:p w14:paraId="5C2631F0">
      <w:pPr>
        <w:rPr>
          <w:rFonts w:hint="eastAsia" w:ascii="宋体" w:hAnsi="宋体" w:eastAsia="宋体" w:cs="宋体"/>
          <w:b/>
          <w:bCs/>
          <w:sz w:val="28"/>
          <w:szCs w:val="28"/>
          <w:highlight w:val="none"/>
        </w:rPr>
      </w:pPr>
    </w:p>
    <w:p w14:paraId="4DE962A3">
      <w:pPr>
        <w:spacing w:line="360" w:lineRule="auto"/>
        <w:jc w:val="center"/>
        <w:rPr>
          <w:rFonts w:hint="eastAsia" w:ascii="宋体" w:hAnsi="宋体" w:eastAsia="宋体" w:cs="宋体"/>
          <w:b/>
          <w:bCs/>
          <w:sz w:val="28"/>
          <w:szCs w:val="28"/>
          <w:highlight w:val="none"/>
        </w:rPr>
      </w:pPr>
    </w:p>
    <w:p w14:paraId="3F44504E">
      <w:pPr>
        <w:spacing w:line="360" w:lineRule="auto"/>
        <w:jc w:val="center"/>
        <w:rPr>
          <w:rFonts w:hint="eastAsia" w:ascii="宋体" w:hAnsi="宋体" w:eastAsia="宋体" w:cs="宋体"/>
          <w:sz w:val="24"/>
          <w:highlight w:val="none"/>
        </w:rPr>
      </w:pPr>
      <w:r>
        <w:rPr>
          <w:rFonts w:hint="eastAsia" w:ascii="宋体" w:hAnsi="宋体" w:eastAsia="宋体" w:cs="宋体"/>
          <w:b/>
          <w:bCs/>
          <w:sz w:val="28"/>
          <w:szCs w:val="28"/>
          <w:highlight w:val="none"/>
        </w:rPr>
        <w:t>格式</w:t>
      </w:r>
      <w:r>
        <w:rPr>
          <w:rFonts w:hint="eastAsia" w:ascii="宋体" w:hAnsi="宋体" w:eastAsia="宋体" w:cs="宋体"/>
          <w:b/>
          <w:bCs/>
          <w:sz w:val="28"/>
          <w:szCs w:val="28"/>
          <w:highlight w:val="none"/>
          <w:lang w:val="en-US" w:eastAsia="zh-CN"/>
        </w:rPr>
        <w:t>8</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7</w:t>
      </w:r>
      <w:r>
        <w:rPr>
          <w:rFonts w:hint="eastAsia" w:ascii="宋体" w:hAnsi="宋体" w:eastAsia="宋体" w:cs="宋体"/>
          <w:b/>
          <w:bCs/>
          <w:sz w:val="28"/>
          <w:szCs w:val="28"/>
          <w:highlight w:val="none"/>
        </w:rPr>
        <w:t>.  法定代表人授权书</w:t>
      </w:r>
    </w:p>
    <w:p w14:paraId="303C4DF0">
      <w:pPr>
        <w:spacing w:line="4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eastAsia="zh-CN"/>
        </w:rPr>
        <w:t>江西北涛建设工程咨询有限公司</w:t>
      </w:r>
    </w:p>
    <w:p w14:paraId="75B6F0A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（供应商全称）法定代表人授权（全权代表姓名）为全权代表,参加贵处组织的（项目编号）项目谈判活动，全权代表我方处理谈判活动中的一切事宜。</w:t>
      </w:r>
    </w:p>
    <w:p w14:paraId="21C027B7">
      <w:pPr>
        <w:spacing w:line="440" w:lineRule="exact"/>
        <w:rPr>
          <w:rFonts w:hint="eastAsia" w:ascii="宋体" w:hAnsi="宋体" w:eastAsia="宋体" w:cs="宋体"/>
          <w:sz w:val="24"/>
          <w:szCs w:val="24"/>
          <w:highlight w:val="none"/>
        </w:rPr>
      </w:pPr>
    </w:p>
    <w:p w14:paraId="604EFF7B">
      <w:pPr>
        <w:spacing w:line="440" w:lineRule="exact"/>
        <w:rPr>
          <w:rFonts w:hint="eastAsia" w:ascii="宋体" w:hAnsi="宋体" w:eastAsia="宋体" w:cs="宋体"/>
          <w:sz w:val="24"/>
          <w:szCs w:val="24"/>
          <w:highlight w:val="none"/>
        </w:rPr>
      </w:pPr>
    </w:p>
    <w:p w14:paraId="732AA076">
      <w:pPr>
        <w:spacing w:line="440" w:lineRule="exact"/>
        <w:rPr>
          <w:rFonts w:hint="eastAsia" w:ascii="宋体" w:hAnsi="宋体" w:eastAsia="宋体" w:cs="宋体"/>
          <w:sz w:val="24"/>
          <w:szCs w:val="24"/>
          <w:highlight w:val="none"/>
        </w:rPr>
      </w:pPr>
    </w:p>
    <w:p w14:paraId="27902FA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法定代表人签字或签章：</w:t>
      </w:r>
    </w:p>
    <w:p w14:paraId="03D916F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供应商盖章：</w:t>
      </w:r>
    </w:p>
    <w:p w14:paraId="34A1643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131D4AD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w:t>
      </w:r>
    </w:p>
    <w:p w14:paraId="14310885">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全权代表姓名：</w:t>
      </w:r>
    </w:p>
    <w:p w14:paraId="4AC449D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p w14:paraId="572D58B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2B1218E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详细通讯地址：</w:t>
      </w:r>
    </w:p>
    <w:p w14:paraId="25C635F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p w14:paraId="4A933307">
      <w:pPr>
        <w:rPr>
          <w:rFonts w:hint="eastAsia" w:ascii="宋体" w:hAnsi="宋体" w:eastAsia="宋体" w:cs="宋体"/>
          <w:sz w:val="24"/>
          <w:szCs w:val="24"/>
          <w:highlight w:val="none"/>
        </w:rPr>
      </w:pPr>
    </w:p>
    <w:p w14:paraId="5E9B4B98">
      <w:pPr>
        <w:spacing w:line="440" w:lineRule="exact"/>
        <w:rPr>
          <w:rFonts w:hint="eastAsia" w:ascii="宋体" w:hAnsi="宋体" w:eastAsia="宋体" w:cs="宋体"/>
          <w:sz w:val="24"/>
          <w:szCs w:val="24"/>
          <w:highlight w:val="none"/>
        </w:rPr>
      </w:pPr>
    </w:p>
    <w:p w14:paraId="21224B3D">
      <w:pPr>
        <w:spacing w:line="440" w:lineRule="exact"/>
        <w:rPr>
          <w:rFonts w:hint="eastAsia" w:ascii="宋体" w:hAnsi="宋体" w:eastAsia="宋体" w:cs="宋体"/>
          <w:sz w:val="24"/>
          <w:szCs w:val="24"/>
          <w:highlight w:val="none"/>
        </w:rPr>
      </w:pPr>
    </w:p>
    <w:p w14:paraId="22E0DBB2">
      <w:pPr>
        <w:spacing w:line="440" w:lineRule="exact"/>
        <w:rPr>
          <w:rFonts w:hint="eastAsia" w:ascii="宋体" w:hAnsi="宋体" w:eastAsia="宋体" w:cs="宋体"/>
          <w:sz w:val="24"/>
          <w:szCs w:val="24"/>
          <w:highlight w:val="none"/>
        </w:rPr>
      </w:pPr>
    </w:p>
    <w:p w14:paraId="7983269C">
      <w:pPr>
        <w:keepNext w:val="0"/>
        <w:keepLines w:val="0"/>
        <w:pageBreakBefore w:val="0"/>
        <w:widowControl w:val="0"/>
        <w:shd w:val="clear"/>
        <w:kinsoku w:val="0"/>
        <w:wordWrap/>
        <w:overflowPunct/>
        <w:topLinePunct w:val="0"/>
        <w:autoSpaceDE w:val="0"/>
        <w:autoSpaceDN w:val="0"/>
        <w:bidi w:val="0"/>
        <w:adjustRightInd w:val="0"/>
        <w:snapToGrid w:val="0"/>
        <w:spacing w:before="79" w:line="360" w:lineRule="auto"/>
        <w:textAlignment w:val="baseline"/>
        <w:rPr>
          <w:rFonts w:hint="eastAsia" w:ascii="宋体" w:hAnsi="宋体" w:eastAsia="宋体" w:cs="宋体"/>
          <w:color w:val="auto"/>
          <w:highlight w:val="none"/>
          <w:lang w:eastAsia="zh-CN"/>
        </w:rPr>
      </w:pPr>
      <w:bookmarkStart w:id="87" w:name="_Toc262628298"/>
      <w:bookmarkStart w:id="88" w:name="_Toc262628299"/>
      <w:r>
        <w:rPr>
          <w:rFonts w:hint="eastAsia" w:ascii="宋体" w:hAnsi="宋体" w:eastAsia="宋体" w:cs="宋体"/>
          <w:color w:val="auto"/>
          <w:spacing w:val="-2"/>
          <w:sz w:val="24"/>
          <w:szCs w:val="24"/>
          <w:highlight w:val="none"/>
          <w:lang w:eastAsia="zh-CN"/>
        </w:rPr>
        <w:t>附：法定代表人</w:t>
      </w:r>
      <w:r>
        <w:rPr>
          <w:rFonts w:hint="eastAsia" w:ascii="宋体" w:hAnsi="宋体" w:eastAsia="宋体" w:cs="宋体"/>
          <w:color w:val="auto"/>
          <w:spacing w:val="-2"/>
          <w:sz w:val="24"/>
          <w:szCs w:val="24"/>
          <w:highlight w:val="none"/>
          <w:lang w:val="en-US" w:eastAsia="zh-CN"/>
        </w:rPr>
        <w:t>及全权代表</w:t>
      </w:r>
      <w:r>
        <w:rPr>
          <w:rFonts w:hint="eastAsia" w:ascii="宋体" w:hAnsi="宋体" w:eastAsia="宋体" w:cs="宋体"/>
          <w:color w:val="auto"/>
          <w:spacing w:val="-2"/>
          <w:sz w:val="24"/>
          <w:szCs w:val="24"/>
          <w:highlight w:val="none"/>
          <w:lang w:eastAsia="zh-CN"/>
        </w:rPr>
        <w:t>身份证扫描件（正、反面）</w:t>
      </w:r>
    </w:p>
    <w:p w14:paraId="2798ABE5">
      <w:pPr>
        <w:keepNext w:val="0"/>
        <w:keepLines w:val="0"/>
        <w:pageBreakBefore w:val="0"/>
        <w:widowControl w:val="0"/>
        <w:shd w:val="clear"/>
        <w:kinsoku w:val="0"/>
        <w:wordWrap/>
        <w:overflowPunct/>
        <w:topLinePunct w:val="0"/>
        <w:autoSpaceDE w:val="0"/>
        <w:autoSpaceDN w:val="0"/>
        <w:bidi w:val="0"/>
        <w:adjustRightInd w:val="0"/>
        <w:snapToGrid w:val="0"/>
        <w:spacing w:before="78" w:line="360" w:lineRule="auto"/>
        <w:ind w:left="4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说明：法定代表人参加采购，不用提供授权书。</w:t>
      </w:r>
    </w:p>
    <w:p w14:paraId="3E74BA6E">
      <w:pPr>
        <w:tabs>
          <w:tab w:val="left" w:pos="1470"/>
        </w:tabs>
        <w:spacing w:line="432" w:lineRule="auto"/>
        <w:rPr>
          <w:rFonts w:hint="eastAsia" w:ascii="宋体" w:hAnsi="宋体" w:eastAsia="宋体" w:cs="宋体"/>
          <w:b/>
          <w:sz w:val="24"/>
          <w:szCs w:val="24"/>
          <w:highlight w:val="none"/>
        </w:rPr>
      </w:pPr>
    </w:p>
    <w:p w14:paraId="40C0F659">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763CB96D">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法定代表人（</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单位负责人）资格声明</w:t>
      </w:r>
    </w:p>
    <w:p w14:paraId="0E957E74">
      <w:pPr>
        <w:pageBreakBefore w:val="0"/>
        <w:widowControl w:val="0"/>
        <w:shd w:val="clear"/>
        <w:wordWrap/>
        <w:overflowPunct/>
        <w:topLinePunct w:val="0"/>
        <w:bidi w:val="0"/>
        <w:spacing w:line="276" w:lineRule="auto"/>
        <w:rPr>
          <w:rFonts w:hint="eastAsia" w:ascii="宋体" w:hAnsi="宋体" w:eastAsia="宋体" w:cs="宋体"/>
          <w:color w:val="auto"/>
          <w:highlight w:val="none"/>
          <w:lang w:eastAsia="zh-CN"/>
        </w:rPr>
      </w:pPr>
    </w:p>
    <w:p w14:paraId="57AE3F41">
      <w:pPr>
        <w:pageBreakBefore w:val="0"/>
        <w:widowControl w:val="0"/>
        <w:shd w:val="clear"/>
        <w:wordWrap/>
        <w:overflowPunct/>
        <w:topLinePunct w:val="0"/>
        <w:bidi w:val="0"/>
        <w:spacing w:line="276" w:lineRule="auto"/>
        <w:rPr>
          <w:rFonts w:hint="eastAsia" w:ascii="宋体" w:hAnsi="宋体" w:eastAsia="宋体" w:cs="宋体"/>
          <w:color w:val="auto"/>
          <w:highlight w:val="none"/>
          <w:lang w:eastAsia="zh-CN"/>
        </w:rPr>
      </w:pPr>
    </w:p>
    <w:p w14:paraId="7628A66E">
      <w:pPr>
        <w:keepNext w:val="0"/>
        <w:keepLines w:val="0"/>
        <w:pageBreakBefore w:val="0"/>
        <w:widowControl w:val="0"/>
        <w:shd w:val="clear"/>
        <w:kinsoku w:val="0"/>
        <w:wordWrap/>
        <w:overflowPunct/>
        <w:topLinePunct w:val="0"/>
        <w:autoSpaceDE w:val="0"/>
        <w:autoSpaceDN w:val="0"/>
        <w:bidi w:val="0"/>
        <w:adjustRightInd w:val="0"/>
        <w:snapToGrid w:val="0"/>
        <w:spacing w:before="78" w:line="360" w:lineRule="auto"/>
        <w:ind w:left="37"/>
        <w:textAlignment w:val="baseline"/>
        <w:rPr>
          <w:rFonts w:hint="eastAsia" w:ascii="宋体" w:hAnsi="宋体" w:eastAsia="宋体" w:cs="宋体"/>
          <w:color w:val="auto"/>
          <w:highlight w:val="none"/>
          <w:u w:val="single"/>
          <w:lang w:val="en-US" w:eastAsia="zh-CN"/>
        </w:rPr>
      </w:pPr>
      <w:r>
        <w:rPr>
          <w:rFonts w:hint="eastAsia" w:ascii="宋体" w:hAnsi="宋体" w:eastAsia="宋体" w:cs="宋体"/>
          <w:color w:val="auto"/>
          <w:spacing w:val="-1"/>
          <w:sz w:val="24"/>
          <w:szCs w:val="24"/>
          <w:highlight w:val="none"/>
          <w:lang w:eastAsia="zh-CN"/>
        </w:rPr>
        <w:t>致：</w:t>
      </w:r>
      <w:r>
        <w:rPr>
          <w:rFonts w:hint="eastAsia"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val="en-US" w:eastAsia="zh-CN"/>
        </w:rPr>
        <w:t xml:space="preserve">  </w:t>
      </w:r>
    </w:p>
    <w:p w14:paraId="7F5B8FE7">
      <w:pPr>
        <w:keepNext w:val="0"/>
        <w:keepLines w:val="0"/>
        <w:pageBreakBefore w:val="0"/>
        <w:widowControl w:val="0"/>
        <w:shd w:val="clear"/>
        <w:tabs>
          <w:tab w:val="left" w:pos="2548"/>
        </w:tabs>
        <w:kinsoku w:val="0"/>
        <w:wordWrap/>
        <w:overflowPunct/>
        <w:topLinePunct w:val="0"/>
        <w:autoSpaceDE w:val="0"/>
        <w:autoSpaceDN w:val="0"/>
        <w:bidi w:val="0"/>
        <w:adjustRightInd w:val="0"/>
        <w:snapToGrid w:val="0"/>
        <w:spacing w:before="78" w:line="480" w:lineRule="auto"/>
        <w:jc w:val="both"/>
        <w:textAlignment w:val="baseline"/>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兹证明：</w:t>
      </w:r>
    </w:p>
    <w:p w14:paraId="35CFC1D0">
      <w:pPr>
        <w:keepNext w:val="0"/>
        <w:keepLines w:val="0"/>
        <w:pageBreakBefore w:val="0"/>
        <w:widowControl w:val="0"/>
        <w:shd w:val="clear"/>
        <w:tabs>
          <w:tab w:val="left" w:pos="2548"/>
        </w:tabs>
        <w:kinsoku w:val="0"/>
        <w:wordWrap/>
        <w:overflowPunct/>
        <w:topLinePunct w:val="0"/>
        <w:autoSpaceDE w:val="0"/>
        <w:autoSpaceDN w:val="0"/>
        <w:bidi w:val="0"/>
        <w:adjustRightInd w:val="0"/>
        <w:snapToGrid w:val="0"/>
        <w:spacing w:before="78" w:line="480" w:lineRule="auto"/>
        <w:jc w:val="both"/>
        <w:textAlignment w:val="baseline"/>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性别：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职务：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系</w:t>
      </w:r>
      <w:r>
        <w:rPr>
          <w:rFonts w:hint="eastAsia" w:ascii="宋体" w:hAnsi="宋体" w:eastAsia="宋体" w:cs="宋体"/>
          <w:color w:val="auto"/>
          <w:sz w:val="24"/>
          <w:szCs w:val="24"/>
          <w:highlight w:val="none"/>
          <w:u w:val="single"/>
          <w:lang w:val="en-US" w:eastAsia="zh-CN"/>
        </w:rPr>
        <w:t xml:space="preserve">      （供应商名称） </w:t>
      </w:r>
      <w:r>
        <w:rPr>
          <w:rFonts w:hint="eastAsia" w:ascii="宋体" w:hAnsi="宋体" w:eastAsia="宋体" w:cs="宋体"/>
          <w:color w:val="auto"/>
          <w:sz w:val="24"/>
          <w:szCs w:val="24"/>
          <w:highlight w:val="none"/>
          <w:u w:val="none"/>
          <w:lang w:val="en-US" w:eastAsia="zh-CN"/>
        </w:rPr>
        <w:t>的法定代表人（单位负责人）。</w:t>
      </w:r>
    </w:p>
    <w:p w14:paraId="65283F3B">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04E31D94">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2D67AC07">
      <w:pPr>
        <w:keepNext w:val="0"/>
        <w:keepLines w:val="0"/>
        <w:pageBreakBefore w:val="0"/>
        <w:widowControl w:val="0"/>
        <w:shd w:val="clear"/>
        <w:kinsoku w:val="0"/>
        <w:wordWrap/>
        <w:overflowPunct/>
        <w:topLinePunct w:val="0"/>
        <w:autoSpaceDE w:val="0"/>
        <w:autoSpaceDN w:val="0"/>
        <w:bidi w:val="0"/>
        <w:adjustRightInd w:val="0"/>
        <w:snapToGrid w:val="0"/>
        <w:spacing w:before="78" w:line="360" w:lineRule="auto"/>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法定代表人（</w:t>
      </w:r>
      <w:r>
        <w:rPr>
          <w:rFonts w:hint="eastAsia" w:ascii="宋体" w:hAnsi="宋体" w:eastAsia="宋体" w:cs="宋体"/>
          <w:color w:val="auto"/>
          <w:spacing w:val="-1"/>
          <w:sz w:val="24"/>
          <w:szCs w:val="24"/>
          <w:highlight w:val="none"/>
          <w:lang w:val="en-US" w:eastAsia="zh-CN"/>
        </w:rPr>
        <w:t>单位负责人）</w:t>
      </w:r>
      <w:r>
        <w:rPr>
          <w:rFonts w:hint="eastAsia" w:ascii="宋体" w:hAnsi="宋体" w:eastAsia="宋体" w:cs="宋体"/>
          <w:color w:val="auto"/>
          <w:spacing w:val="-1"/>
          <w:sz w:val="24"/>
          <w:szCs w:val="24"/>
          <w:highlight w:val="none"/>
          <w:lang w:eastAsia="zh-CN"/>
        </w:rPr>
        <w:t>签字或签章：</w:t>
      </w:r>
    </w:p>
    <w:p w14:paraId="0BA7B2E0">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4BD68DA2">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4D617D6C">
      <w:pPr>
        <w:keepNext w:val="0"/>
        <w:keepLines w:val="0"/>
        <w:pageBreakBefore w:val="0"/>
        <w:widowControl w:val="0"/>
        <w:shd w:val="clear"/>
        <w:kinsoku w:val="0"/>
        <w:wordWrap/>
        <w:overflowPunct/>
        <w:topLinePunct w:val="0"/>
        <w:autoSpaceDE w:val="0"/>
        <w:autoSpaceDN w:val="0"/>
        <w:bidi w:val="0"/>
        <w:adjustRightInd w:val="0"/>
        <w:snapToGrid w:val="0"/>
        <w:spacing w:before="79"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供应商盖章：</w:t>
      </w:r>
    </w:p>
    <w:p w14:paraId="6718986A">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47CD8692">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689411E0">
      <w:pPr>
        <w:pStyle w:val="53"/>
        <w:keepNext w:val="0"/>
        <w:keepLines w:val="0"/>
        <w:pageBreakBefore w:val="0"/>
        <w:widowControl w:val="0"/>
        <w:shd w:val="clear" w:color="auto"/>
        <w:wordWrap/>
        <w:overflowPunct/>
        <w:topLinePunct w:val="0"/>
        <w:bidi w:val="0"/>
        <w:spacing w:before="0" w:after="520" w:line="605" w:lineRule="exact"/>
        <w:ind w:left="0" w:right="0" w:firstLine="0"/>
        <w:jc w:val="left"/>
        <w:rPr>
          <w:rFonts w:hint="eastAsia" w:ascii="宋体" w:hAnsi="宋体" w:eastAsia="宋体" w:cs="宋体"/>
          <w:color w:val="auto"/>
          <w:highlight w:val="none"/>
          <w:lang w:eastAsia="zh-CN"/>
        </w:rPr>
      </w:pPr>
      <w:r>
        <w:rPr>
          <w:rFonts w:hint="eastAsia" w:ascii="宋体" w:hAnsi="宋体" w:eastAsia="宋体" w:cs="宋体"/>
          <w:color w:val="auto"/>
          <w:spacing w:val="-21"/>
          <w:sz w:val="24"/>
          <w:szCs w:val="24"/>
          <w:highlight w:val="none"/>
          <w:lang w:val="en-US" w:eastAsia="zh-CN"/>
        </w:rPr>
        <w:t xml:space="preserve"> </w:t>
      </w:r>
      <w:r>
        <w:rPr>
          <w:rFonts w:hint="eastAsia" w:ascii="宋体" w:hAnsi="宋体" w:eastAsia="宋体" w:cs="宋体"/>
          <w:color w:val="auto"/>
          <w:spacing w:val="-21"/>
          <w:sz w:val="24"/>
          <w:szCs w:val="24"/>
          <w:highlight w:val="none"/>
          <w:lang w:eastAsia="zh-CN"/>
        </w:rPr>
        <w:t>日</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21"/>
          <w:sz w:val="24"/>
          <w:szCs w:val="24"/>
          <w:highlight w:val="none"/>
          <w:lang w:eastAsia="zh-CN"/>
        </w:rPr>
        <w:t>期：</w:t>
      </w:r>
      <w:r>
        <w:rPr>
          <w:rFonts w:hint="eastAsia" w:ascii="宋体" w:hAnsi="宋体" w:eastAsia="宋体" w:cs="宋体"/>
          <w:color w:val="auto"/>
          <w:spacing w:val="0"/>
          <w:w w:val="100"/>
          <w:position w:val="0"/>
          <w:sz w:val="24"/>
          <w:szCs w:val="24"/>
          <w:highlight w:val="none"/>
          <w:u w:val="none"/>
          <w:lang w:val="en-US" w:eastAsia="zh-CN"/>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年</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月</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日</w:t>
      </w:r>
    </w:p>
    <w:p w14:paraId="2F40E356">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61D52F62">
      <w:pPr>
        <w:keepNext w:val="0"/>
        <w:keepLines w:val="0"/>
        <w:pageBreakBefore w:val="0"/>
        <w:widowControl w:val="0"/>
        <w:shd w:val="clear"/>
        <w:kinsoku w:val="0"/>
        <w:wordWrap/>
        <w:overflowPunct/>
        <w:topLinePunct w:val="0"/>
        <w:autoSpaceDE w:val="0"/>
        <w:autoSpaceDN w:val="0"/>
        <w:bidi w:val="0"/>
        <w:adjustRightInd w:val="0"/>
        <w:snapToGrid w:val="0"/>
        <w:spacing w:before="79" w:line="360" w:lineRule="auto"/>
        <w:ind w:left="56"/>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15"/>
          <w:sz w:val="24"/>
          <w:szCs w:val="24"/>
          <w:highlight w:val="none"/>
          <w:lang w:eastAsia="zh-CN"/>
        </w:rPr>
        <w:t>附：</w:t>
      </w:r>
      <w:r>
        <w:rPr>
          <w:rFonts w:hint="eastAsia" w:ascii="宋体" w:hAnsi="宋体" w:eastAsia="宋体" w:cs="宋体"/>
          <w:color w:val="auto"/>
          <w:spacing w:val="-2"/>
          <w:sz w:val="24"/>
          <w:szCs w:val="24"/>
          <w:highlight w:val="none"/>
          <w:lang w:eastAsia="zh-CN"/>
        </w:rPr>
        <w:t>法定代表人</w:t>
      </w:r>
      <w:r>
        <w:rPr>
          <w:rFonts w:hint="eastAsia" w:ascii="宋体" w:hAnsi="宋体" w:eastAsia="宋体" w:cs="宋体"/>
          <w:color w:val="auto"/>
          <w:spacing w:val="-2"/>
          <w:sz w:val="24"/>
          <w:szCs w:val="24"/>
          <w:highlight w:val="none"/>
          <w:lang w:val="en-US" w:eastAsia="zh-CN"/>
        </w:rPr>
        <w:t>（单位负责人）</w:t>
      </w:r>
      <w:r>
        <w:rPr>
          <w:rFonts w:hint="eastAsia" w:ascii="宋体" w:hAnsi="宋体" w:eastAsia="宋体" w:cs="宋体"/>
          <w:color w:val="auto"/>
          <w:spacing w:val="-2"/>
          <w:sz w:val="24"/>
          <w:szCs w:val="24"/>
          <w:highlight w:val="none"/>
          <w:lang w:eastAsia="zh-CN"/>
        </w:rPr>
        <w:t>身份证扫描件（正、反面）</w:t>
      </w:r>
    </w:p>
    <w:p w14:paraId="33774C96">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lang w:val="en-US" w:eastAsia="zh-CN"/>
        </w:rPr>
        <w:sectPr>
          <w:footerReference r:id="rId11" w:type="default"/>
          <w:pgSz w:w="11906" w:h="16839"/>
          <w:pgMar w:top="1431" w:right="1587" w:bottom="1429" w:left="1582" w:header="0" w:footer="994" w:gutter="0"/>
          <w:pgBorders>
            <w:top w:val="none" w:sz="0" w:space="0"/>
            <w:left w:val="none" w:sz="0" w:space="0"/>
            <w:bottom w:val="none" w:sz="0" w:space="0"/>
            <w:right w:val="none" w:sz="0" w:space="0"/>
          </w:pgBorders>
          <w:cols w:space="720" w:num="1"/>
        </w:sectPr>
      </w:pPr>
    </w:p>
    <w:p w14:paraId="42F7CAE6">
      <w:pPr>
        <w:spacing w:after="312" w:afterLines="100"/>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rPr>
        <w:t>格式</w:t>
      </w:r>
      <w:r>
        <w:rPr>
          <w:rFonts w:hint="eastAsia" w:ascii="宋体" w:hAnsi="宋体" w:eastAsia="宋体" w:cs="宋体"/>
          <w:b/>
          <w:bCs/>
          <w:sz w:val="28"/>
          <w:szCs w:val="28"/>
          <w:highlight w:val="none"/>
          <w:lang w:val="en-US" w:eastAsia="zh-CN"/>
        </w:rPr>
        <w:t>8</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8</w:t>
      </w:r>
      <w:r>
        <w:rPr>
          <w:rFonts w:hint="eastAsia" w:ascii="宋体" w:hAnsi="宋体" w:eastAsia="宋体" w:cs="宋体"/>
          <w:b/>
          <w:bCs/>
          <w:sz w:val="28"/>
          <w:szCs w:val="28"/>
          <w:highlight w:val="none"/>
        </w:rPr>
        <w:t>．供应商的资格声明</w:t>
      </w:r>
      <w:bookmarkEnd w:id="87"/>
    </w:p>
    <w:p w14:paraId="4A8BBE42">
      <w:pPr>
        <w:spacing w:line="360" w:lineRule="auto"/>
        <w:rPr>
          <w:rFonts w:hint="eastAsia" w:ascii="宋体" w:hAnsi="宋体" w:eastAsia="宋体" w:cs="宋体"/>
          <w:spacing w:val="-2"/>
          <w:sz w:val="24"/>
          <w:szCs w:val="24"/>
          <w:highlight w:val="none"/>
          <w:lang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eastAsia="zh-CN"/>
        </w:rPr>
        <w:t>江西北涛建设工程咨询有限公司</w:t>
      </w:r>
    </w:p>
    <w:p w14:paraId="4E357451">
      <w:pPr>
        <w:spacing w:line="360" w:lineRule="auto"/>
        <w:ind w:firstLine="472" w:firstLineChars="2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为响应贵方</w:t>
      </w:r>
      <w:r>
        <w:rPr>
          <w:rFonts w:hint="eastAsia" w:ascii="宋体" w:hAnsi="宋体" w:eastAsia="宋体" w:cs="宋体"/>
          <w:spacing w:val="-2"/>
          <w:sz w:val="24"/>
          <w:szCs w:val="24"/>
          <w:highlight w:val="none"/>
          <w:u w:val="single"/>
        </w:rPr>
        <w:t>（项目名称、项目编号）</w:t>
      </w:r>
      <w:r>
        <w:rPr>
          <w:rFonts w:hint="eastAsia" w:ascii="宋体" w:hAnsi="宋体" w:eastAsia="宋体" w:cs="宋体"/>
          <w:spacing w:val="-2"/>
          <w:sz w:val="24"/>
          <w:szCs w:val="24"/>
          <w:highlight w:val="none"/>
        </w:rPr>
        <w:t>谈判邀请，下述签字人愿参与谈判，提供采购需求一览表和技术要求</w:t>
      </w:r>
      <w:r>
        <w:rPr>
          <w:rFonts w:hint="eastAsia" w:ascii="宋体" w:hAnsi="宋体" w:eastAsia="宋体" w:cs="宋体"/>
          <w:sz w:val="24"/>
          <w:szCs w:val="24"/>
          <w:highlight w:val="none"/>
        </w:rPr>
        <w:t>规定的工程和有关服务</w:t>
      </w:r>
      <w:r>
        <w:rPr>
          <w:rFonts w:hint="eastAsia" w:ascii="宋体" w:hAnsi="宋体" w:eastAsia="宋体" w:cs="宋体"/>
          <w:spacing w:val="-2"/>
          <w:sz w:val="24"/>
          <w:szCs w:val="24"/>
          <w:highlight w:val="none"/>
        </w:rPr>
        <w:t>，提交下述文件并声明全</w:t>
      </w:r>
      <w:r>
        <w:rPr>
          <w:rFonts w:hint="eastAsia" w:ascii="宋体" w:hAnsi="宋体" w:eastAsia="宋体" w:cs="宋体"/>
          <w:sz w:val="24"/>
          <w:szCs w:val="24"/>
          <w:highlight w:val="none"/>
        </w:rPr>
        <w:t>部说明是真实的和正确的。</w:t>
      </w:r>
    </w:p>
    <w:p w14:paraId="02B29E8F">
      <w:pPr>
        <w:numPr>
          <w:ilvl w:val="0"/>
          <w:numId w:val="1"/>
        </w:numPr>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我方具有履行合同所必须的设备和专业技术能力；</w:t>
      </w:r>
    </w:p>
    <w:p w14:paraId="256350D9">
      <w:pPr>
        <w:numPr>
          <w:ilvl w:val="0"/>
          <w:numId w:val="1"/>
        </w:numPr>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我方在参加采购前三年内,在经营活动中没有重大违法记录；</w:t>
      </w:r>
    </w:p>
    <w:p w14:paraId="0FC53DB4">
      <w:pPr>
        <w:numPr>
          <w:ilvl w:val="0"/>
          <w:numId w:val="1"/>
        </w:numPr>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下述签字人在证书中证明本资格文件中的内容是真实的和正确的；</w:t>
      </w:r>
    </w:p>
    <w:p w14:paraId="2CF9A88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4.我方没有单位负责人为同一人或者存在直接控股、管理关系的不同供应商，参加本项目采购活动的情形；</w:t>
      </w:r>
    </w:p>
    <w:p w14:paraId="161C0D2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5.我方没有为本项目提供整体设计、规范编制或者项目管理、监理、检测等服务。</w:t>
      </w:r>
    </w:p>
    <w:p w14:paraId="0A4740F1">
      <w:pPr>
        <w:spacing w:line="360" w:lineRule="auto"/>
        <w:ind w:firstLine="480" w:firstLineChars="200"/>
        <w:rPr>
          <w:rFonts w:hint="eastAsia" w:ascii="宋体" w:hAnsi="宋体" w:eastAsia="宋体" w:cs="宋体"/>
          <w:sz w:val="24"/>
          <w:szCs w:val="24"/>
          <w:highlight w:val="none"/>
        </w:rPr>
      </w:pPr>
    </w:p>
    <w:p w14:paraId="6435F005">
      <w:pPr>
        <w:spacing w:line="360" w:lineRule="auto"/>
        <w:ind w:firstLine="480" w:firstLineChars="200"/>
        <w:rPr>
          <w:rFonts w:hint="eastAsia" w:ascii="宋体" w:hAnsi="宋体" w:eastAsia="宋体" w:cs="宋体"/>
          <w:sz w:val="24"/>
          <w:szCs w:val="24"/>
          <w:highlight w:val="none"/>
        </w:rPr>
      </w:pPr>
    </w:p>
    <w:p w14:paraId="64E3A50B">
      <w:pPr>
        <w:spacing w:line="360" w:lineRule="auto"/>
        <w:ind w:firstLine="480" w:firstLineChars="200"/>
        <w:rPr>
          <w:rFonts w:hint="eastAsia" w:ascii="宋体" w:hAnsi="宋体" w:eastAsia="宋体" w:cs="宋体"/>
          <w:sz w:val="24"/>
          <w:szCs w:val="24"/>
          <w:highlight w:val="none"/>
        </w:rPr>
      </w:pPr>
    </w:p>
    <w:p w14:paraId="532387C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供应商代表签字或签章</w:t>
      </w:r>
    </w:p>
    <w:p w14:paraId="1485219A">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供应商盖章</w:t>
      </w:r>
    </w:p>
    <w:p w14:paraId="53DEC20A">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日期</w:t>
      </w:r>
    </w:p>
    <w:bookmarkEnd w:id="88"/>
    <w:p w14:paraId="643C34AA">
      <w:pPr>
        <w:tabs>
          <w:tab w:val="left" w:pos="1470"/>
        </w:tabs>
        <w:spacing w:line="432" w:lineRule="auto"/>
        <w:rPr>
          <w:rFonts w:hint="eastAsia" w:ascii="宋体" w:hAnsi="宋体" w:eastAsia="宋体" w:cs="宋体"/>
          <w:sz w:val="24"/>
          <w:highlight w:val="none"/>
          <w:u w:val="single"/>
        </w:rPr>
      </w:pPr>
    </w:p>
    <w:p w14:paraId="18736355">
      <w:pPr>
        <w:tabs>
          <w:tab w:val="left" w:pos="1470"/>
        </w:tabs>
        <w:spacing w:line="432" w:lineRule="auto"/>
        <w:rPr>
          <w:rFonts w:hint="eastAsia" w:ascii="宋体" w:hAnsi="宋体" w:eastAsia="宋体" w:cs="宋体"/>
          <w:sz w:val="24"/>
          <w:highlight w:val="none"/>
          <w:u w:val="single"/>
        </w:rPr>
        <w:sectPr>
          <w:footerReference r:id="rId12" w:type="default"/>
          <w:footerReference r:id="rId13" w:type="even"/>
          <w:pgSz w:w="11906" w:h="16838"/>
          <w:pgMar w:top="1418" w:right="1247" w:bottom="1418" w:left="1814" w:header="851" w:footer="992" w:gutter="0"/>
          <w:pgBorders>
            <w:top w:val="none" w:sz="0" w:space="0"/>
            <w:left w:val="none" w:sz="0" w:space="0"/>
            <w:bottom w:val="none" w:sz="0" w:space="0"/>
            <w:right w:val="none" w:sz="0" w:space="0"/>
          </w:pgBorders>
          <w:cols w:space="425" w:num="1"/>
          <w:docGrid w:type="lines" w:linePitch="312" w:charSpace="0"/>
        </w:sectPr>
      </w:pPr>
    </w:p>
    <w:p w14:paraId="1955EF51">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格式</w:t>
      </w:r>
      <w:r>
        <w:rPr>
          <w:rFonts w:hint="eastAsia" w:ascii="宋体" w:hAnsi="宋体" w:eastAsia="宋体" w:cs="宋体"/>
          <w:b/>
          <w:sz w:val="28"/>
          <w:szCs w:val="28"/>
          <w:highlight w:val="none"/>
          <w:lang w:val="en-US" w:eastAsia="zh-CN"/>
        </w:rPr>
        <w:t>8</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val="en-US" w:eastAsia="zh-CN"/>
        </w:rPr>
        <w:t>9</w:t>
      </w:r>
      <w:r>
        <w:rPr>
          <w:rFonts w:hint="eastAsia" w:ascii="宋体" w:hAnsi="宋体" w:eastAsia="宋体" w:cs="宋体"/>
          <w:b/>
          <w:sz w:val="28"/>
          <w:szCs w:val="28"/>
          <w:highlight w:val="none"/>
        </w:rPr>
        <w:t>.谈判文件第一章“谈判邀请”中要求的证明材料</w:t>
      </w:r>
    </w:p>
    <w:p w14:paraId="6BCAF1F4">
      <w:pPr>
        <w:spacing w:line="43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w:t>
      </w:r>
    </w:p>
    <w:p w14:paraId="70B7DC3D">
      <w:pPr>
        <w:spacing w:line="43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投标人盖章的保证金凭证复印件或截图</w:t>
      </w:r>
    </w:p>
    <w:p w14:paraId="192B836A">
      <w:pPr>
        <w:spacing w:line="432"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本项目的特定资格要求</w:t>
      </w:r>
    </w:p>
    <w:p w14:paraId="2135A8E4">
      <w:pPr>
        <w:spacing w:line="360" w:lineRule="auto"/>
        <w:jc w:val="center"/>
        <w:rPr>
          <w:rFonts w:hint="eastAsia" w:ascii="宋体" w:hAnsi="宋体" w:eastAsia="宋体" w:cs="宋体"/>
          <w:b/>
          <w:sz w:val="28"/>
          <w:szCs w:val="28"/>
          <w:highlight w:val="none"/>
        </w:rPr>
      </w:pPr>
    </w:p>
    <w:p w14:paraId="6F53014B">
      <w:pPr>
        <w:spacing w:line="360" w:lineRule="auto"/>
        <w:jc w:val="center"/>
        <w:rPr>
          <w:rFonts w:hint="eastAsia" w:ascii="宋体" w:hAnsi="宋体" w:eastAsia="宋体" w:cs="宋体"/>
          <w:b/>
          <w:sz w:val="28"/>
          <w:szCs w:val="28"/>
          <w:highlight w:val="none"/>
        </w:rPr>
      </w:pPr>
    </w:p>
    <w:p w14:paraId="1A20D605">
      <w:pPr>
        <w:spacing w:line="360" w:lineRule="auto"/>
        <w:jc w:val="center"/>
        <w:rPr>
          <w:rFonts w:hint="eastAsia" w:ascii="宋体" w:hAnsi="宋体" w:eastAsia="宋体" w:cs="宋体"/>
          <w:b/>
          <w:sz w:val="28"/>
          <w:szCs w:val="28"/>
          <w:highlight w:val="none"/>
        </w:rPr>
      </w:pPr>
    </w:p>
    <w:p w14:paraId="6A385DE1">
      <w:pPr>
        <w:spacing w:line="360" w:lineRule="auto"/>
        <w:jc w:val="center"/>
        <w:rPr>
          <w:rFonts w:hint="eastAsia" w:ascii="宋体" w:hAnsi="宋体" w:eastAsia="宋体" w:cs="宋体"/>
          <w:b/>
          <w:sz w:val="28"/>
          <w:szCs w:val="28"/>
          <w:highlight w:val="none"/>
        </w:rPr>
      </w:pPr>
    </w:p>
    <w:p w14:paraId="5488800C">
      <w:pPr>
        <w:spacing w:line="360" w:lineRule="auto"/>
        <w:jc w:val="center"/>
        <w:rPr>
          <w:rFonts w:hint="eastAsia" w:ascii="宋体" w:hAnsi="宋体" w:eastAsia="宋体" w:cs="宋体"/>
          <w:b/>
          <w:sz w:val="28"/>
          <w:szCs w:val="28"/>
          <w:highlight w:val="none"/>
        </w:rPr>
      </w:pPr>
    </w:p>
    <w:p w14:paraId="06F7E5C0">
      <w:pPr>
        <w:spacing w:line="360" w:lineRule="auto"/>
        <w:jc w:val="center"/>
        <w:rPr>
          <w:rFonts w:hint="eastAsia" w:ascii="宋体" w:hAnsi="宋体" w:eastAsia="宋体" w:cs="宋体"/>
          <w:b/>
          <w:sz w:val="28"/>
          <w:szCs w:val="28"/>
          <w:highlight w:val="none"/>
        </w:rPr>
      </w:pPr>
    </w:p>
    <w:p w14:paraId="11AC8C59">
      <w:pPr>
        <w:spacing w:line="360" w:lineRule="auto"/>
        <w:jc w:val="center"/>
        <w:rPr>
          <w:rFonts w:hint="eastAsia" w:ascii="宋体" w:hAnsi="宋体" w:eastAsia="宋体" w:cs="宋体"/>
          <w:b/>
          <w:sz w:val="28"/>
          <w:szCs w:val="28"/>
          <w:highlight w:val="none"/>
        </w:rPr>
      </w:pPr>
    </w:p>
    <w:p w14:paraId="2B1EE7B9">
      <w:pPr>
        <w:spacing w:line="360" w:lineRule="auto"/>
        <w:jc w:val="center"/>
        <w:rPr>
          <w:rFonts w:hint="eastAsia" w:ascii="宋体" w:hAnsi="宋体" w:eastAsia="宋体" w:cs="宋体"/>
          <w:b/>
          <w:sz w:val="28"/>
          <w:szCs w:val="28"/>
          <w:highlight w:val="none"/>
        </w:rPr>
      </w:pPr>
    </w:p>
    <w:p w14:paraId="65DBE23B">
      <w:pPr>
        <w:spacing w:line="360" w:lineRule="auto"/>
        <w:jc w:val="center"/>
        <w:rPr>
          <w:rFonts w:hint="eastAsia" w:ascii="宋体" w:hAnsi="宋体" w:eastAsia="宋体" w:cs="宋体"/>
          <w:b/>
          <w:sz w:val="28"/>
          <w:szCs w:val="28"/>
          <w:highlight w:val="none"/>
        </w:rPr>
      </w:pPr>
    </w:p>
    <w:p w14:paraId="3E13865F">
      <w:pPr>
        <w:spacing w:line="360" w:lineRule="auto"/>
        <w:jc w:val="center"/>
        <w:rPr>
          <w:rFonts w:hint="eastAsia" w:ascii="宋体" w:hAnsi="宋体" w:eastAsia="宋体" w:cs="宋体"/>
          <w:b/>
          <w:sz w:val="28"/>
          <w:szCs w:val="28"/>
          <w:highlight w:val="none"/>
        </w:rPr>
      </w:pPr>
    </w:p>
    <w:p w14:paraId="03442092">
      <w:pPr>
        <w:spacing w:line="360" w:lineRule="auto"/>
        <w:jc w:val="center"/>
        <w:rPr>
          <w:rFonts w:hint="eastAsia" w:ascii="宋体" w:hAnsi="宋体" w:eastAsia="宋体" w:cs="宋体"/>
          <w:b/>
          <w:sz w:val="28"/>
          <w:szCs w:val="28"/>
          <w:highlight w:val="none"/>
        </w:rPr>
      </w:pPr>
    </w:p>
    <w:p w14:paraId="2E3CF065">
      <w:pPr>
        <w:spacing w:line="360" w:lineRule="auto"/>
        <w:jc w:val="center"/>
        <w:rPr>
          <w:rFonts w:hint="eastAsia" w:ascii="宋体" w:hAnsi="宋体" w:eastAsia="宋体" w:cs="宋体"/>
          <w:b/>
          <w:sz w:val="28"/>
          <w:szCs w:val="28"/>
          <w:highlight w:val="none"/>
        </w:rPr>
      </w:pPr>
    </w:p>
    <w:p w14:paraId="2A1CFD78">
      <w:pPr>
        <w:spacing w:line="360" w:lineRule="auto"/>
        <w:jc w:val="center"/>
        <w:rPr>
          <w:rFonts w:hint="eastAsia" w:ascii="宋体" w:hAnsi="宋体" w:eastAsia="宋体" w:cs="宋体"/>
          <w:b/>
          <w:sz w:val="28"/>
          <w:szCs w:val="28"/>
          <w:highlight w:val="none"/>
        </w:rPr>
      </w:pPr>
    </w:p>
    <w:p w14:paraId="57054D2B">
      <w:pPr>
        <w:spacing w:line="360" w:lineRule="auto"/>
        <w:jc w:val="center"/>
        <w:rPr>
          <w:rFonts w:hint="eastAsia" w:ascii="宋体" w:hAnsi="宋体" w:eastAsia="宋体" w:cs="宋体"/>
          <w:b/>
          <w:sz w:val="28"/>
          <w:szCs w:val="28"/>
          <w:highlight w:val="none"/>
        </w:rPr>
      </w:pPr>
    </w:p>
    <w:p w14:paraId="4DD4B94D">
      <w:pPr>
        <w:spacing w:line="360" w:lineRule="auto"/>
        <w:jc w:val="center"/>
        <w:rPr>
          <w:rFonts w:hint="eastAsia" w:ascii="宋体" w:hAnsi="宋体" w:eastAsia="宋体" w:cs="宋体"/>
          <w:b/>
          <w:sz w:val="28"/>
          <w:szCs w:val="28"/>
          <w:highlight w:val="none"/>
        </w:rPr>
      </w:pPr>
    </w:p>
    <w:p w14:paraId="7DAAD8A4">
      <w:pPr>
        <w:spacing w:line="360" w:lineRule="auto"/>
        <w:jc w:val="center"/>
        <w:rPr>
          <w:rFonts w:hint="eastAsia" w:ascii="宋体" w:hAnsi="宋体" w:eastAsia="宋体" w:cs="宋体"/>
          <w:b/>
          <w:sz w:val="28"/>
          <w:szCs w:val="28"/>
          <w:highlight w:val="none"/>
        </w:rPr>
      </w:pPr>
    </w:p>
    <w:p w14:paraId="2E6E5D1C">
      <w:pPr>
        <w:spacing w:line="360" w:lineRule="auto"/>
        <w:jc w:val="center"/>
        <w:rPr>
          <w:rFonts w:hint="eastAsia" w:ascii="宋体" w:hAnsi="宋体" w:eastAsia="宋体" w:cs="宋体"/>
          <w:b/>
          <w:sz w:val="28"/>
          <w:szCs w:val="28"/>
          <w:highlight w:val="none"/>
        </w:rPr>
      </w:pPr>
    </w:p>
    <w:p w14:paraId="465C0735">
      <w:pPr>
        <w:spacing w:line="360" w:lineRule="auto"/>
        <w:jc w:val="center"/>
        <w:rPr>
          <w:rFonts w:hint="eastAsia" w:ascii="宋体" w:hAnsi="宋体" w:eastAsia="宋体" w:cs="宋体"/>
          <w:b/>
          <w:sz w:val="28"/>
          <w:szCs w:val="28"/>
          <w:highlight w:val="none"/>
        </w:rPr>
      </w:pPr>
    </w:p>
    <w:p w14:paraId="6D28749B">
      <w:pPr>
        <w:spacing w:line="360" w:lineRule="auto"/>
        <w:jc w:val="center"/>
        <w:rPr>
          <w:rFonts w:hint="eastAsia" w:ascii="宋体" w:hAnsi="宋体" w:eastAsia="宋体" w:cs="宋体"/>
          <w:b/>
          <w:sz w:val="28"/>
          <w:szCs w:val="28"/>
          <w:highlight w:val="none"/>
        </w:rPr>
      </w:pPr>
    </w:p>
    <w:p w14:paraId="53FEB2A3">
      <w:pPr>
        <w:spacing w:line="360" w:lineRule="auto"/>
        <w:jc w:val="center"/>
        <w:rPr>
          <w:rFonts w:hint="eastAsia" w:ascii="宋体" w:hAnsi="宋体" w:eastAsia="宋体" w:cs="宋体"/>
          <w:b/>
          <w:sz w:val="28"/>
          <w:szCs w:val="28"/>
          <w:highlight w:val="none"/>
        </w:rPr>
      </w:pPr>
    </w:p>
    <w:p w14:paraId="517B4331">
      <w:pPr>
        <w:spacing w:line="360" w:lineRule="auto"/>
        <w:jc w:val="center"/>
        <w:rPr>
          <w:rFonts w:hint="eastAsia" w:ascii="宋体" w:hAnsi="宋体" w:eastAsia="宋体" w:cs="宋体"/>
          <w:b/>
          <w:sz w:val="28"/>
          <w:szCs w:val="28"/>
          <w:highlight w:val="none"/>
        </w:rPr>
      </w:pPr>
    </w:p>
    <w:p w14:paraId="541C3654">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br w:type="page"/>
      </w:r>
    </w:p>
    <w:p w14:paraId="1B1C2257">
      <w:pPr>
        <w:ind w:firstLine="482" w:firstLineChars="200"/>
        <w:rPr>
          <w:rFonts w:hint="eastAsia" w:ascii="宋体" w:hAnsi="宋体" w:eastAsia="宋体" w:cs="宋体"/>
          <w:b/>
          <w:sz w:val="24"/>
          <w:highlight w:val="none"/>
        </w:rPr>
      </w:pPr>
    </w:p>
    <w:p w14:paraId="0642F484">
      <w:pPr>
        <w:rPr>
          <w:rFonts w:hint="eastAsia" w:ascii="宋体" w:hAnsi="宋体" w:eastAsia="宋体" w:cs="宋体"/>
          <w:highlight w:val="none"/>
        </w:rPr>
      </w:pPr>
    </w:p>
    <w:p w14:paraId="7515E03F">
      <w:pPr>
        <w:pStyle w:val="40"/>
        <w:rPr>
          <w:rFonts w:hint="eastAsia" w:ascii="宋体" w:hAnsi="宋体" w:eastAsia="宋体" w:cs="宋体"/>
          <w:highlight w:val="none"/>
        </w:rPr>
      </w:pPr>
      <w:bookmarkStart w:id="89" w:name="_Toc5052"/>
      <w:r>
        <w:rPr>
          <w:rFonts w:hint="eastAsia" w:ascii="宋体" w:hAnsi="宋体" w:eastAsia="宋体" w:cs="宋体"/>
          <w:highlight w:val="none"/>
        </w:rPr>
        <w:t>第五章  采购需求一览表及采购要求</w:t>
      </w:r>
      <w:bookmarkEnd w:id="89"/>
    </w:p>
    <w:p w14:paraId="5CD750BF">
      <w:pPr>
        <w:rPr>
          <w:rFonts w:hint="eastAsia" w:ascii="宋体" w:hAnsi="宋体" w:eastAsia="宋体" w:cs="宋体"/>
          <w:spacing w:val="-6"/>
          <w:sz w:val="52"/>
          <w:highlight w:val="none"/>
        </w:rPr>
      </w:pPr>
    </w:p>
    <w:p w14:paraId="1B9EB7FE">
      <w:pPr>
        <w:pStyle w:val="42"/>
        <w:spacing w:before="240"/>
        <w:rPr>
          <w:rFonts w:hint="eastAsia" w:ascii="宋体" w:hAnsi="宋体" w:eastAsia="宋体" w:cs="宋体"/>
          <w:highlight w:val="none"/>
        </w:rPr>
      </w:pPr>
      <w:bookmarkStart w:id="90" w:name="_Toc5942"/>
      <w:r>
        <w:rPr>
          <w:rFonts w:hint="eastAsia" w:ascii="宋体" w:hAnsi="宋体" w:eastAsia="宋体" w:cs="宋体"/>
          <w:highlight w:val="none"/>
        </w:rPr>
        <w:t>一、采购需求一览表</w:t>
      </w:r>
      <w:bookmarkEnd w:id="90"/>
    </w:p>
    <w:p w14:paraId="076148D8">
      <w:pPr>
        <w:adjustRightInd w:val="0"/>
        <w:snapToGrid w:val="0"/>
        <w:spacing w:line="432" w:lineRule="auto"/>
        <w:ind w:left="-8" w:leftChars="-4" w:firstLine="7" w:firstLineChars="3"/>
        <w:rPr>
          <w:rFonts w:hint="eastAsia" w:ascii="宋体" w:hAnsi="宋体" w:eastAsia="宋体" w:cs="宋体"/>
          <w:b/>
          <w:sz w:val="24"/>
          <w:highlight w:val="none"/>
        </w:rPr>
      </w:pPr>
    </w:p>
    <w:tbl>
      <w:tblPr>
        <w:tblStyle w:val="17"/>
        <w:tblpPr w:leftFromText="180" w:rightFromText="180" w:vertAnchor="text"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3"/>
        <w:gridCol w:w="6541"/>
      </w:tblGrid>
      <w:tr w14:paraId="0C6E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trPr>
        <w:tc>
          <w:tcPr>
            <w:tcW w:w="1619" w:type="pct"/>
            <w:tcBorders>
              <w:tl2br w:val="single" w:color="auto" w:sz="4" w:space="0"/>
            </w:tcBorders>
          </w:tcPr>
          <w:p w14:paraId="4B64C693">
            <w:pPr>
              <w:spacing w:line="360" w:lineRule="auto"/>
              <w:ind w:firstLine="465"/>
              <w:rPr>
                <w:rFonts w:hint="eastAsia" w:ascii="宋体" w:hAnsi="宋体" w:eastAsia="宋体" w:cs="宋体"/>
                <w:sz w:val="24"/>
                <w:highlight w:val="none"/>
              </w:rPr>
            </w:pPr>
          </w:p>
          <w:p w14:paraId="5B1EBFCF">
            <w:pPr>
              <w:spacing w:line="360" w:lineRule="auto"/>
              <w:ind w:firstLine="1300" w:firstLineChars="542"/>
              <w:rPr>
                <w:rFonts w:hint="eastAsia" w:ascii="宋体" w:hAnsi="宋体" w:eastAsia="宋体" w:cs="宋体"/>
                <w:sz w:val="24"/>
                <w:highlight w:val="none"/>
              </w:rPr>
            </w:pPr>
            <w:r>
              <w:rPr>
                <w:rFonts w:hint="eastAsia" w:ascii="宋体" w:hAnsi="宋体" w:eastAsia="宋体" w:cs="宋体"/>
                <w:sz w:val="24"/>
                <w:highlight w:val="none"/>
              </w:rPr>
              <w:t>采购名称</w:t>
            </w:r>
          </w:p>
          <w:p w14:paraId="035D403F">
            <w:pPr>
              <w:spacing w:line="360" w:lineRule="auto"/>
              <w:ind w:firstLine="465"/>
              <w:rPr>
                <w:rFonts w:hint="eastAsia" w:ascii="宋体" w:hAnsi="宋体" w:eastAsia="宋体" w:cs="宋体"/>
                <w:sz w:val="24"/>
                <w:highlight w:val="none"/>
              </w:rPr>
            </w:pPr>
            <w:r>
              <w:rPr>
                <w:rFonts w:hint="eastAsia" w:ascii="宋体" w:hAnsi="宋体" w:eastAsia="宋体" w:cs="宋体"/>
                <w:sz w:val="24"/>
                <w:highlight w:val="none"/>
              </w:rPr>
              <w:t>内容</w:t>
            </w:r>
          </w:p>
        </w:tc>
        <w:tc>
          <w:tcPr>
            <w:tcW w:w="3380" w:type="pct"/>
            <w:vAlign w:val="center"/>
          </w:tcPr>
          <w:p w14:paraId="16C6E49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详见“第一章谈判邀请”</w:t>
            </w:r>
          </w:p>
        </w:tc>
      </w:tr>
      <w:tr w14:paraId="33A1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19" w:type="pct"/>
            <w:vAlign w:val="center"/>
          </w:tcPr>
          <w:p w14:paraId="1C10B2E9">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数量</w:t>
            </w:r>
          </w:p>
        </w:tc>
        <w:tc>
          <w:tcPr>
            <w:tcW w:w="3380" w:type="pct"/>
            <w:vAlign w:val="center"/>
          </w:tcPr>
          <w:p w14:paraId="5652564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详见第五章中的“采购要求”</w:t>
            </w:r>
          </w:p>
        </w:tc>
      </w:tr>
      <w:tr w14:paraId="528E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1619" w:type="pct"/>
            <w:vAlign w:val="center"/>
          </w:tcPr>
          <w:p w14:paraId="67022BD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交货期</w:t>
            </w:r>
          </w:p>
        </w:tc>
        <w:tc>
          <w:tcPr>
            <w:tcW w:w="3380" w:type="pct"/>
            <w:vAlign w:val="center"/>
          </w:tcPr>
          <w:p w14:paraId="5D8886E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详见第五章中的“商务需求”</w:t>
            </w:r>
          </w:p>
        </w:tc>
      </w:tr>
      <w:tr w14:paraId="40C5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619" w:type="pct"/>
            <w:vAlign w:val="center"/>
          </w:tcPr>
          <w:p w14:paraId="6B9B4BA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交货地点</w:t>
            </w:r>
          </w:p>
        </w:tc>
        <w:tc>
          <w:tcPr>
            <w:tcW w:w="3380" w:type="pct"/>
            <w:vAlign w:val="center"/>
          </w:tcPr>
          <w:p w14:paraId="68C24124">
            <w:pPr>
              <w:spacing w:line="360" w:lineRule="auto"/>
              <w:ind w:left="480" w:hanging="480" w:hangingChars="200"/>
              <w:jc w:val="center"/>
              <w:rPr>
                <w:rFonts w:hint="eastAsia" w:ascii="宋体" w:hAnsi="宋体" w:eastAsia="宋体" w:cs="宋体"/>
                <w:bCs/>
                <w:sz w:val="24"/>
                <w:szCs w:val="24"/>
                <w:highlight w:val="none"/>
              </w:rPr>
            </w:pPr>
            <w:r>
              <w:rPr>
                <w:rFonts w:hint="eastAsia" w:ascii="宋体" w:hAnsi="宋体" w:eastAsia="宋体" w:cs="宋体"/>
                <w:sz w:val="24"/>
                <w:highlight w:val="none"/>
              </w:rPr>
              <w:t>详见第五章中的“商务需求”</w:t>
            </w:r>
          </w:p>
        </w:tc>
      </w:tr>
      <w:tr w14:paraId="4EF1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2" w:hRule="atLeast"/>
        </w:trPr>
        <w:tc>
          <w:tcPr>
            <w:tcW w:w="1619" w:type="pct"/>
            <w:vAlign w:val="center"/>
          </w:tcPr>
          <w:p w14:paraId="686993F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备注</w:t>
            </w:r>
          </w:p>
        </w:tc>
        <w:tc>
          <w:tcPr>
            <w:tcW w:w="3380" w:type="pct"/>
            <w:vAlign w:val="center"/>
          </w:tcPr>
          <w:p w14:paraId="1FC25316">
            <w:pPr>
              <w:spacing w:line="360" w:lineRule="auto"/>
              <w:ind w:firstLine="422" w:firstLineChars="175"/>
              <w:jc w:val="left"/>
              <w:rPr>
                <w:rFonts w:hint="eastAsia" w:ascii="宋体" w:hAnsi="宋体" w:eastAsia="宋体" w:cs="宋体"/>
                <w:b/>
                <w:bCs/>
                <w:sz w:val="24"/>
                <w:szCs w:val="24"/>
                <w:highlight w:val="none"/>
              </w:rPr>
            </w:pPr>
          </w:p>
        </w:tc>
      </w:tr>
    </w:tbl>
    <w:p w14:paraId="07CD368A">
      <w:pPr>
        <w:jc w:val="center"/>
        <w:rPr>
          <w:rFonts w:hint="eastAsia" w:ascii="宋体" w:hAnsi="宋体" w:eastAsia="宋体" w:cs="宋体"/>
          <w:spacing w:val="-6"/>
          <w:sz w:val="52"/>
          <w:highlight w:val="none"/>
        </w:rPr>
        <w:sectPr>
          <w:footerReference r:id="rId14" w:type="default"/>
          <w:pgSz w:w="11906" w:h="16838"/>
          <w:pgMar w:top="1440" w:right="1028" w:bottom="1440" w:left="1418" w:header="851" w:footer="851" w:gutter="0"/>
          <w:pgBorders>
            <w:top w:val="none" w:sz="0" w:space="0"/>
            <w:left w:val="none" w:sz="0" w:space="0"/>
            <w:bottom w:val="none" w:sz="0" w:space="0"/>
            <w:right w:val="none" w:sz="0" w:space="0"/>
          </w:pgBorders>
          <w:cols w:space="425" w:num="1"/>
          <w:docGrid w:linePitch="312" w:charSpace="0"/>
        </w:sectPr>
      </w:pPr>
      <w:r>
        <w:rPr>
          <w:rFonts w:hint="eastAsia" w:ascii="宋体" w:hAnsi="宋体" w:eastAsia="宋体" w:cs="宋体"/>
          <w:spacing w:val="-6"/>
          <w:sz w:val="52"/>
          <w:highlight w:val="none"/>
        </w:rPr>
        <w:br w:type="textWrapping" w:clear="all"/>
      </w:r>
      <w:r>
        <w:rPr>
          <w:rFonts w:hint="eastAsia" w:ascii="宋体" w:hAnsi="宋体" w:eastAsia="宋体" w:cs="宋体"/>
          <w:spacing w:val="-6"/>
          <w:sz w:val="52"/>
          <w:highlight w:val="none"/>
        </w:rPr>
        <w:br w:type="textWrapping" w:clear="all"/>
      </w:r>
    </w:p>
    <w:p w14:paraId="5FB088F4">
      <w:pPr>
        <w:pStyle w:val="42"/>
        <w:spacing w:before="240"/>
        <w:rPr>
          <w:rFonts w:hint="eastAsia" w:ascii="宋体" w:hAnsi="宋体" w:eastAsia="宋体" w:cs="宋体"/>
          <w:highlight w:val="none"/>
        </w:rPr>
      </w:pPr>
      <w:bookmarkStart w:id="91" w:name="_Toc8535"/>
      <w:r>
        <w:rPr>
          <w:rFonts w:hint="eastAsia" w:ascii="宋体" w:hAnsi="宋体" w:eastAsia="宋体" w:cs="宋体"/>
          <w:highlight w:val="none"/>
          <w:lang w:val="en-US" w:eastAsia="zh-CN"/>
        </w:rPr>
        <w:t>二</w:t>
      </w:r>
      <w:r>
        <w:rPr>
          <w:rFonts w:hint="eastAsia" w:ascii="宋体" w:hAnsi="宋体" w:eastAsia="宋体" w:cs="宋体"/>
          <w:highlight w:val="none"/>
        </w:rPr>
        <w:t>、采购需求</w:t>
      </w:r>
      <w:bookmarkEnd w:id="91"/>
    </w:p>
    <w:p w14:paraId="7B0FFFC2">
      <w:pPr>
        <w:numPr>
          <w:ilvl w:val="0"/>
          <w:numId w:val="2"/>
        </w:numPr>
        <w:spacing w:line="460" w:lineRule="exact"/>
        <w:outlineLvl w:val="2"/>
        <w:rPr>
          <w:rFonts w:hint="eastAsia" w:ascii="宋体" w:hAnsi="宋体" w:eastAsia="宋体" w:cs="宋体"/>
          <w:b/>
          <w:bCs/>
          <w:sz w:val="24"/>
          <w:szCs w:val="24"/>
          <w:highlight w:val="none"/>
        </w:rPr>
      </w:pPr>
      <w:bookmarkStart w:id="92" w:name="_Toc29373"/>
      <w:r>
        <w:rPr>
          <w:rFonts w:hint="eastAsia" w:ascii="宋体" w:hAnsi="宋体" w:eastAsia="宋体" w:cs="宋体"/>
          <w:b/>
          <w:bCs/>
          <w:sz w:val="24"/>
          <w:szCs w:val="24"/>
          <w:highlight w:val="none"/>
        </w:rPr>
        <w:t>技术需求</w:t>
      </w:r>
      <w:bookmarkEnd w:id="92"/>
    </w:p>
    <w:tbl>
      <w:tblPr>
        <w:tblStyle w:val="17"/>
        <w:tblW w:w="9082" w:type="dxa"/>
        <w:tblInd w:w="-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1854"/>
        <w:gridCol w:w="673"/>
        <w:gridCol w:w="673"/>
        <w:gridCol w:w="1819"/>
        <w:gridCol w:w="1476"/>
        <w:gridCol w:w="1721"/>
      </w:tblGrid>
      <w:tr w14:paraId="409A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556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序号</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EDD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名      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3DA2">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数量</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95C2">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单位</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0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  料</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14E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规   格</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E9C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备注</w:t>
            </w:r>
          </w:p>
        </w:tc>
      </w:tr>
      <w:tr w14:paraId="73EF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08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538102">
            <w:pPr>
              <w:keepNext w:val="0"/>
              <w:keepLines w:val="0"/>
              <w:widowControl/>
              <w:suppressLineNumbers w:val="0"/>
              <w:jc w:val="left"/>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一：污水提升泵站A</w:t>
            </w:r>
          </w:p>
        </w:tc>
      </w:tr>
      <w:tr w14:paraId="010A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D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3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WQ150-26-18.5</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C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1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F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Q=150m³/h H=26m N=18.5kw</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B232">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5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两用一备</w:t>
            </w:r>
          </w:p>
        </w:tc>
      </w:tr>
      <w:tr w14:paraId="45B3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8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1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离子除臭设备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D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B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C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风量400m³/h N=0.5kw</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8622">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BA39">
            <w:pPr>
              <w:jc w:val="center"/>
              <w:rPr>
                <w:rFonts w:hint="eastAsia" w:ascii="宋体" w:hAnsi="宋体" w:eastAsia="宋体" w:cs="宋体"/>
                <w:i w:val="0"/>
                <w:iCs w:val="0"/>
                <w:color w:val="000000"/>
                <w:sz w:val="21"/>
                <w:szCs w:val="21"/>
                <w:u w:val="none"/>
              </w:rPr>
            </w:pPr>
          </w:p>
        </w:tc>
      </w:tr>
      <w:tr w14:paraId="1FC5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7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A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泵站筒体</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2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2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8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GRP</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E0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DN3500×5800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F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5"/>
                <w:sz w:val="21"/>
                <w:szCs w:val="21"/>
                <w:lang w:val="en-US" w:eastAsia="zh-CN" w:bidi="ar"/>
              </w:rPr>
              <w:t>筒体厚度</w:t>
            </w:r>
            <w:r>
              <w:rPr>
                <w:rStyle w:val="56"/>
                <w:rFonts w:eastAsia="宋体"/>
                <w:sz w:val="21"/>
                <w:szCs w:val="21"/>
                <w:lang w:val="en-US" w:eastAsia="zh-CN" w:bidi="ar"/>
              </w:rPr>
              <w:t>23mm</w:t>
            </w:r>
          </w:p>
        </w:tc>
      </w:tr>
      <w:tr w14:paraId="6B0E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0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3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进水管挠性接头</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4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4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9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0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 PN10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9A29">
            <w:pPr>
              <w:jc w:val="center"/>
              <w:rPr>
                <w:rFonts w:hint="eastAsia" w:ascii="宋体" w:hAnsi="宋体" w:eastAsia="宋体" w:cs="宋体"/>
                <w:i w:val="0"/>
                <w:iCs w:val="0"/>
                <w:color w:val="000000"/>
                <w:sz w:val="21"/>
                <w:szCs w:val="21"/>
                <w:u w:val="none"/>
              </w:rPr>
            </w:pPr>
          </w:p>
        </w:tc>
      </w:tr>
      <w:tr w14:paraId="6124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8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0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进水管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2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7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4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GRP</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 PN10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B716">
            <w:pPr>
              <w:jc w:val="center"/>
              <w:rPr>
                <w:rFonts w:hint="eastAsia" w:ascii="宋体" w:hAnsi="宋体" w:eastAsia="宋体" w:cs="宋体"/>
                <w:i w:val="0"/>
                <w:iCs w:val="0"/>
                <w:color w:val="000000"/>
                <w:sz w:val="21"/>
                <w:szCs w:val="21"/>
                <w:u w:val="none"/>
              </w:rPr>
            </w:pPr>
          </w:p>
        </w:tc>
      </w:tr>
      <w:tr w14:paraId="3373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D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9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粉碎格栅</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0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1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F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Q&gt;140m³/h  N=2.2kw</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C988">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1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一用一备仓库备用</w:t>
            </w:r>
          </w:p>
        </w:tc>
      </w:tr>
      <w:tr w14:paraId="3E3E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A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D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爬梯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2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4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8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9488">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4DBF">
            <w:pPr>
              <w:jc w:val="center"/>
              <w:rPr>
                <w:rFonts w:hint="eastAsia" w:ascii="宋体" w:hAnsi="宋体" w:eastAsia="宋体" w:cs="宋体"/>
                <w:i w:val="0"/>
                <w:iCs w:val="0"/>
                <w:color w:val="000000"/>
                <w:sz w:val="21"/>
                <w:szCs w:val="21"/>
                <w:u w:val="none"/>
              </w:rPr>
            </w:pPr>
          </w:p>
        </w:tc>
      </w:tr>
      <w:tr w14:paraId="260A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7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F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格栅导轨</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0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2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2503">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2A96">
            <w:pPr>
              <w:jc w:val="center"/>
              <w:rPr>
                <w:rFonts w:hint="eastAsia" w:ascii="宋体" w:hAnsi="宋体" w:eastAsia="宋体" w:cs="宋体"/>
                <w:i w:val="0"/>
                <w:iCs w:val="0"/>
                <w:color w:val="000000"/>
                <w:sz w:val="21"/>
                <w:szCs w:val="21"/>
                <w:u w:val="none"/>
              </w:rPr>
            </w:pPr>
          </w:p>
        </w:tc>
      </w:tr>
      <w:tr w14:paraId="147E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E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9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井盖</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C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F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8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压花铝板</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E5DA">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A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带气动弹簧</w:t>
            </w:r>
          </w:p>
        </w:tc>
      </w:tr>
      <w:tr w14:paraId="738D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4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F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安全格栅</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5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7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8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不锈钢钢格栅（不带防滑条覆面板）</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D5F5">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A50D">
            <w:pPr>
              <w:jc w:val="center"/>
              <w:rPr>
                <w:rFonts w:hint="eastAsia" w:ascii="宋体" w:hAnsi="宋体" w:eastAsia="宋体" w:cs="宋体"/>
                <w:i w:val="0"/>
                <w:iCs w:val="0"/>
                <w:color w:val="000000"/>
                <w:sz w:val="21"/>
                <w:szCs w:val="21"/>
                <w:u w:val="none"/>
              </w:rPr>
            </w:pPr>
          </w:p>
        </w:tc>
      </w:tr>
      <w:tr w14:paraId="65C8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C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A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3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6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B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0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DN150+DN125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E310">
            <w:pPr>
              <w:jc w:val="center"/>
              <w:rPr>
                <w:rFonts w:hint="eastAsia" w:ascii="宋体" w:hAnsi="宋体" w:eastAsia="宋体" w:cs="宋体"/>
                <w:i w:val="0"/>
                <w:iCs w:val="0"/>
                <w:color w:val="000000"/>
                <w:sz w:val="21"/>
                <w:szCs w:val="21"/>
                <w:u w:val="none"/>
              </w:rPr>
            </w:pPr>
          </w:p>
        </w:tc>
      </w:tr>
      <w:tr w14:paraId="3B71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3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A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电气控制柜</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6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5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762E">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4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预留远程接口</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6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含一对一软启动，带触摸屏，远程监控，户外不锈钢双门箱体配置，成套采购</w:t>
            </w:r>
          </w:p>
        </w:tc>
      </w:tr>
      <w:tr w14:paraId="03C2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4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F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出水管挠性接头</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7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7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1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8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 PN10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A52">
            <w:pPr>
              <w:jc w:val="center"/>
              <w:rPr>
                <w:rFonts w:hint="eastAsia" w:ascii="宋体" w:hAnsi="宋体" w:eastAsia="宋体" w:cs="宋体"/>
                <w:i w:val="0"/>
                <w:iCs w:val="0"/>
                <w:color w:val="000000"/>
                <w:sz w:val="21"/>
                <w:szCs w:val="21"/>
                <w:u w:val="none"/>
              </w:rPr>
            </w:pPr>
          </w:p>
        </w:tc>
      </w:tr>
      <w:tr w14:paraId="4AD2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1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4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5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8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5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C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 PN10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EC2F">
            <w:pPr>
              <w:jc w:val="center"/>
              <w:rPr>
                <w:rFonts w:hint="eastAsia" w:ascii="宋体" w:hAnsi="宋体" w:eastAsia="宋体" w:cs="宋体"/>
                <w:i w:val="0"/>
                <w:iCs w:val="0"/>
                <w:color w:val="000000"/>
                <w:sz w:val="21"/>
                <w:szCs w:val="21"/>
                <w:u w:val="none"/>
              </w:rPr>
            </w:pPr>
          </w:p>
        </w:tc>
      </w:tr>
      <w:tr w14:paraId="796E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C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8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闸阀</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7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5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1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铸铁+环氧涂层</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5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 PN10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E4BF">
            <w:pPr>
              <w:jc w:val="center"/>
              <w:rPr>
                <w:rFonts w:hint="eastAsia" w:ascii="宋体" w:hAnsi="宋体" w:eastAsia="宋体" w:cs="宋体"/>
                <w:i w:val="0"/>
                <w:iCs w:val="0"/>
                <w:color w:val="000000"/>
                <w:sz w:val="21"/>
                <w:szCs w:val="21"/>
                <w:u w:val="none"/>
              </w:rPr>
            </w:pPr>
          </w:p>
        </w:tc>
      </w:tr>
      <w:tr w14:paraId="213F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4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3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止回阀</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2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C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7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铸铁+环氧涂层</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1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 PN10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5309">
            <w:pPr>
              <w:jc w:val="center"/>
              <w:rPr>
                <w:rFonts w:hint="eastAsia" w:ascii="宋体" w:hAnsi="宋体" w:eastAsia="宋体" w:cs="宋体"/>
                <w:i w:val="0"/>
                <w:iCs w:val="0"/>
                <w:color w:val="000000"/>
                <w:sz w:val="21"/>
                <w:szCs w:val="21"/>
                <w:u w:val="none"/>
              </w:rPr>
            </w:pPr>
          </w:p>
        </w:tc>
      </w:tr>
      <w:tr w14:paraId="497B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7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5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服务平台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6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B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5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GRP格栅板+SS304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F240">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C93D">
            <w:pPr>
              <w:jc w:val="center"/>
              <w:rPr>
                <w:rFonts w:hint="eastAsia" w:ascii="宋体" w:hAnsi="宋体" w:eastAsia="宋体" w:cs="宋体"/>
                <w:i w:val="0"/>
                <w:iCs w:val="0"/>
                <w:color w:val="000000"/>
                <w:sz w:val="21"/>
                <w:szCs w:val="21"/>
                <w:u w:val="none"/>
              </w:rPr>
            </w:pPr>
          </w:p>
        </w:tc>
      </w:tr>
      <w:tr w14:paraId="1BF0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8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5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3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E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2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1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 PN10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51A0">
            <w:pPr>
              <w:jc w:val="center"/>
              <w:rPr>
                <w:rFonts w:hint="eastAsia" w:ascii="宋体" w:hAnsi="宋体" w:eastAsia="宋体" w:cs="宋体"/>
                <w:i w:val="0"/>
                <w:iCs w:val="0"/>
                <w:color w:val="000000"/>
                <w:sz w:val="21"/>
                <w:szCs w:val="21"/>
                <w:u w:val="none"/>
              </w:rPr>
            </w:pPr>
          </w:p>
        </w:tc>
      </w:tr>
      <w:tr w14:paraId="341A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2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F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液位传感器保护管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7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B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F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GRP</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926B">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9B32">
            <w:pPr>
              <w:jc w:val="center"/>
              <w:rPr>
                <w:rFonts w:hint="eastAsia" w:ascii="宋体" w:hAnsi="宋体" w:eastAsia="宋体" w:cs="宋体"/>
                <w:i w:val="0"/>
                <w:iCs w:val="0"/>
                <w:color w:val="000000"/>
                <w:sz w:val="21"/>
                <w:szCs w:val="21"/>
                <w:u w:val="none"/>
              </w:rPr>
            </w:pPr>
          </w:p>
        </w:tc>
      </w:tr>
      <w:tr w14:paraId="0C14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1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2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水泵导轨</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9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0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9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1C50">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6333">
            <w:pPr>
              <w:jc w:val="center"/>
              <w:rPr>
                <w:rFonts w:hint="eastAsia" w:ascii="宋体" w:hAnsi="宋体" w:eastAsia="宋体" w:cs="宋体"/>
                <w:i w:val="0"/>
                <w:iCs w:val="0"/>
                <w:color w:val="000000"/>
                <w:sz w:val="21"/>
                <w:szCs w:val="21"/>
                <w:u w:val="none"/>
              </w:rPr>
            </w:pPr>
          </w:p>
        </w:tc>
      </w:tr>
      <w:tr w14:paraId="6E86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A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1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自耦底座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F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9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9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HT250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0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3D2C">
            <w:pPr>
              <w:jc w:val="center"/>
              <w:rPr>
                <w:rFonts w:hint="eastAsia" w:ascii="宋体" w:hAnsi="宋体" w:eastAsia="宋体" w:cs="宋体"/>
                <w:i w:val="0"/>
                <w:iCs w:val="0"/>
                <w:color w:val="000000"/>
                <w:sz w:val="21"/>
                <w:szCs w:val="21"/>
                <w:u w:val="none"/>
              </w:rPr>
            </w:pPr>
          </w:p>
        </w:tc>
      </w:tr>
      <w:tr w14:paraId="397A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08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4018A2">
            <w:pPr>
              <w:keepNext w:val="0"/>
              <w:keepLines w:val="0"/>
              <w:widowControl/>
              <w:suppressLineNumbers w:val="0"/>
              <w:jc w:val="left"/>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二：污水提升泵站B</w:t>
            </w:r>
          </w:p>
        </w:tc>
      </w:tr>
      <w:tr w14:paraId="3C2C1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A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5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WQ165-26-22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8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E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7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Q=165m³/h H=26m N=22kw</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1D21">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7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两用一备</w:t>
            </w:r>
          </w:p>
        </w:tc>
      </w:tr>
      <w:tr w14:paraId="1174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7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F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离子除臭设备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B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D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8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风量400m³/h N=0.5kw</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2638">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EA4B">
            <w:pPr>
              <w:jc w:val="center"/>
              <w:rPr>
                <w:rFonts w:hint="eastAsia" w:ascii="宋体" w:hAnsi="宋体" w:eastAsia="宋体" w:cs="宋体"/>
                <w:i w:val="0"/>
                <w:iCs w:val="0"/>
                <w:color w:val="000000"/>
                <w:sz w:val="21"/>
                <w:szCs w:val="21"/>
                <w:u w:val="none"/>
              </w:rPr>
            </w:pPr>
          </w:p>
        </w:tc>
      </w:tr>
      <w:tr w14:paraId="4B00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9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A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泵站筒体</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4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8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9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GRP</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0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DN3500×5400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0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5"/>
                <w:sz w:val="21"/>
                <w:szCs w:val="21"/>
                <w:lang w:val="en-US" w:eastAsia="zh-CN" w:bidi="ar"/>
              </w:rPr>
              <w:t>筒体厚度</w:t>
            </w:r>
            <w:r>
              <w:rPr>
                <w:rStyle w:val="56"/>
                <w:rFonts w:eastAsia="宋体"/>
                <w:sz w:val="21"/>
                <w:szCs w:val="21"/>
                <w:lang w:val="en-US" w:eastAsia="zh-CN" w:bidi="ar"/>
              </w:rPr>
              <w:t>23mm</w:t>
            </w:r>
          </w:p>
        </w:tc>
      </w:tr>
      <w:tr w14:paraId="22BDD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5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1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进水管挠性接头</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6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D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D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9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 PN10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C964">
            <w:pPr>
              <w:jc w:val="center"/>
              <w:rPr>
                <w:rFonts w:hint="eastAsia" w:ascii="宋体" w:hAnsi="宋体" w:eastAsia="宋体" w:cs="宋体"/>
                <w:i w:val="0"/>
                <w:iCs w:val="0"/>
                <w:color w:val="000000"/>
                <w:sz w:val="21"/>
                <w:szCs w:val="21"/>
                <w:u w:val="none"/>
              </w:rPr>
            </w:pPr>
          </w:p>
        </w:tc>
      </w:tr>
      <w:tr w14:paraId="6AB33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2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E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进水管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9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F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7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GRP</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0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DN600 PN10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E208">
            <w:pPr>
              <w:jc w:val="center"/>
              <w:rPr>
                <w:rFonts w:hint="eastAsia" w:ascii="宋体" w:hAnsi="宋体" w:eastAsia="宋体" w:cs="宋体"/>
                <w:i w:val="0"/>
                <w:iCs w:val="0"/>
                <w:color w:val="000000"/>
                <w:sz w:val="21"/>
                <w:szCs w:val="21"/>
                <w:u w:val="none"/>
              </w:rPr>
            </w:pPr>
          </w:p>
        </w:tc>
      </w:tr>
      <w:tr w14:paraId="77408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5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C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粉碎格栅</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9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5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A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Q&gt;165m³/h     N=2.2kw</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DBE2">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1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一用一备仓库备用</w:t>
            </w:r>
          </w:p>
        </w:tc>
      </w:tr>
      <w:tr w14:paraId="4C6D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9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6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爬梯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5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5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B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4894">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C7A7">
            <w:pPr>
              <w:jc w:val="center"/>
              <w:rPr>
                <w:rFonts w:hint="eastAsia" w:ascii="宋体" w:hAnsi="宋体" w:eastAsia="宋体" w:cs="宋体"/>
                <w:i w:val="0"/>
                <w:iCs w:val="0"/>
                <w:color w:val="000000"/>
                <w:sz w:val="21"/>
                <w:szCs w:val="21"/>
                <w:u w:val="none"/>
              </w:rPr>
            </w:pPr>
          </w:p>
        </w:tc>
      </w:tr>
      <w:tr w14:paraId="3E5B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0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4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格栅导轨</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D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5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9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627B">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ABA7">
            <w:pPr>
              <w:jc w:val="center"/>
              <w:rPr>
                <w:rFonts w:hint="eastAsia" w:ascii="宋体" w:hAnsi="宋体" w:eastAsia="宋体" w:cs="宋体"/>
                <w:i w:val="0"/>
                <w:iCs w:val="0"/>
                <w:color w:val="000000"/>
                <w:sz w:val="21"/>
                <w:szCs w:val="21"/>
                <w:u w:val="none"/>
              </w:rPr>
            </w:pPr>
          </w:p>
        </w:tc>
      </w:tr>
      <w:tr w14:paraId="731BC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A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2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井盖</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8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C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F1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压花铝板</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D944">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4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带气动弹簧</w:t>
            </w:r>
          </w:p>
        </w:tc>
      </w:tr>
      <w:tr w14:paraId="5E7A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0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1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安全格栅</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D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D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1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不锈钢钢格栅（不带防滑条覆面板）</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AC94">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E135">
            <w:pPr>
              <w:jc w:val="center"/>
              <w:rPr>
                <w:rFonts w:hint="eastAsia" w:ascii="宋体" w:hAnsi="宋体" w:eastAsia="宋体" w:cs="宋体"/>
                <w:i w:val="0"/>
                <w:iCs w:val="0"/>
                <w:color w:val="000000"/>
                <w:sz w:val="21"/>
                <w:szCs w:val="21"/>
                <w:u w:val="none"/>
              </w:rPr>
            </w:pPr>
          </w:p>
        </w:tc>
      </w:tr>
      <w:tr w14:paraId="1EE5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3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C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A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E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9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C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DN150+DN125</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1A20">
            <w:pPr>
              <w:jc w:val="center"/>
              <w:rPr>
                <w:rFonts w:hint="eastAsia" w:ascii="宋体" w:hAnsi="宋体" w:eastAsia="宋体" w:cs="宋体"/>
                <w:i w:val="0"/>
                <w:iCs w:val="0"/>
                <w:color w:val="000000"/>
                <w:sz w:val="21"/>
                <w:szCs w:val="21"/>
                <w:u w:val="none"/>
              </w:rPr>
            </w:pPr>
          </w:p>
        </w:tc>
      </w:tr>
      <w:tr w14:paraId="404D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C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电气控制柜</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0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5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D34E">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1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预留远程接口</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E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含一对一软启动，带触摸屏，远程监控，户外不锈钢双门箱体配置，成套采购</w:t>
            </w:r>
          </w:p>
        </w:tc>
      </w:tr>
      <w:tr w14:paraId="3551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3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B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出水管挠性接头</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3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8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2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DN350 PN10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7A8A">
            <w:pPr>
              <w:jc w:val="center"/>
              <w:rPr>
                <w:rFonts w:hint="eastAsia" w:ascii="宋体" w:hAnsi="宋体" w:eastAsia="宋体" w:cs="宋体"/>
                <w:i w:val="0"/>
                <w:iCs w:val="0"/>
                <w:color w:val="000000"/>
                <w:sz w:val="21"/>
                <w:szCs w:val="21"/>
                <w:u w:val="none"/>
              </w:rPr>
            </w:pPr>
          </w:p>
        </w:tc>
      </w:tr>
      <w:tr w14:paraId="5E14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9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F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4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5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3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D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DN350 PN10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5443">
            <w:pPr>
              <w:jc w:val="center"/>
              <w:rPr>
                <w:rFonts w:hint="eastAsia" w:ascii="宋体" w:hAnsi="宋体" w:eastAsia="宋体" w:cs="宋体"/>
                <w:i w:val="0"/>
                <w:iCs w:val="0"/>
                <w:color w:val="000000"/>
                <w:sz w:val="21"/>
                <w:szCs w:val="21"/>
                <w:u w:val="none"/>
              </w:rPr>
            </w:pPr>
          </w:p>
        </w:tc>
      </w:tr>
      <w:tr w14:paraId="2EC5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7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5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闸阀</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6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5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A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铸铁+环氧涂层</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A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 PN10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EBD8">
            <w:pPr>
              <w:jc w:val="center"/>
              <w:rPr>
                <w:rFonts w:hint="eastAsia" w:ascii="宋体" w:hAnsi="宋体" w:eastAsia="宋体" w:cs="宋体"/>
                <w:i w:val="0"/>
                <w:iCs w:val="0"/>
                <w:color w:val="000000"/>
                <w:sz w:val="21"/>
                <w:szCs w:val="21"/>
                <w:u w:val="none"/>
              </w:rPr>
            </w:pPr>
          </w:p>
        </w:tc>
      </w:tr>
      <w:tr w14:paraId="1532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B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2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止回阀</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A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2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4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铸铁+环氧涂层</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C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 PN10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AE84">
            <w:pPr>
              <w:jc w:val="center"/>
              <w:rPr>
                <w:rFonts w:hint="eastAsia" w:ascii="宋体" w:hAnsi="宋体" w:eastAsia="宋体" w:cs="宋体"/>
                <w:i w:val="0"/>
                <w:iCs w:val="0"/>
                <w:color w:val="000000"/>
                <w:sz w:val="21"/>
                <w:szCs w:val="21"/>
                <w:u w:val="none"/>
              </w:rPr>
            </w:pPr>
          </w:p>
        </w:tc>
      </w:tr>
      <w:tr w14:paraId="654E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B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0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服务平台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5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6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2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GRP格栅板+SS304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01B3">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209F">
            <w:pPr>
              <w:jc w:val="center"/>
              <w:rPr>
                <w:rFonts w:hint="eastAsia" w:ascii="宋体" w:hAnsi="宋体" w:eastAsia="宋体" w:cs="宋体"/>
                <w:i w:val="0"/>
                <w:iCs w:val="0"/>
                <w:color w:val="000000"/>
                <w:sz w:val="21"/>
                <w:szCs w:val="21"/>
                <w:u w:val="none"/>
              </w:rPr>
            </w:pPr>
          </w:p>
        </w:tc>
      </w:tr>
      <w:tr w14:paraId="1BE7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F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5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EA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4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D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2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DN200 PN10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30A9">
            <w:pPr>
              <w:jc w:val="center"/>
              <w:rPr>
                <w:rFonts w:hint="eastAsia" w:ascii="宋体" w:hAnsi="宋体" w:eastAsia="宋体" w:cs="宋体"/>
                <w:i w:val="0"/>
                <w:iCs w:val="0"/>
                <w:color w:val="000000"/>
                <w:sz w:val="21"/>
                <w:szCs w:val="21"/>
                <w:u w:val="none"/>
              </w:rPr>
            </w:pPr>
          </w:p>
        </w:tc>
      </w:tr>
      <w:tr w14:paraId="2749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5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5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液位传感器保护管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9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C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3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GRP</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590D">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D634">
            <w:pPr>
              <w:jc w:val="center"/>
              <w:rPr>
                <w:rFonts w:hint="eastAsia" w:ascii="宋体" w:hAnsi="宋体" w:eastAsia="宋体" w:cs="宋体"/>
                <w:i w:val="0"/>
                <w:iCs w:val="0"/>
                <w:color w:val="000000"/>
                <w:sz w:val="21"/>
                <w:szCs w:val="21"/>
                <w:u w:val="none"/>
              </w:rPr>
            </w:pPr>
          </w:p>
        </w:tc>
      </w:tr>
      <w:tr w14:paraId="2746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1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B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水泵导轨</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0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1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1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SS304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3578">
            <w:pPr>
              <w:jc w:val="center"/>
              <w:rPr>
                <w:rFonts w:hint="eastAsia" w:ascii="宋体" w:hAnsi="宋体" w:eastAsia="宋体" w:cs="宋体"/>
                <w:i w:val="0"/>
                <w:iCs w:val="0"/>
                <w:color w:val="000000"/>
                <w:sz w:val="21"/>
                <w:szCs w:val="21"/>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4DF9">
            <w:pPr>
              <w:jc w:val="center"/>
              <w:rPr>
                <w:rFonts w:hint="eastAsia" w:ascii="宋体" w:hAnsi="宋体" w:eastAsia="宋体" w:cs="宋体"/>
                <w:i w:val="0"/>
                <w:iCs w:val="0"/>
                <w:color w:val="000000"/>
                <w:sz w:val="21"/>
                <w:szCs w:val="21"/>
                <w:u w:val="none"/>
              </w:rPr>
            </w:pPr>
          </w:p>
        </w:tc>
      </w:tr>
      <w:tr w14:paraId="75664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3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 </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B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自耦底座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6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F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0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HT250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1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3705">
            <w:pPr>
              <w:jc w:val="center"/>
              <w:rPr>
                <w:rFonts w:hint="eastAsia" w:ascii="宋体" w:hAnsi="宋体" w:eastAsia="宋体" w:cs="宋体"/>
                <w:i w:val="0"/>
                <w:iCs w:val="0"/>
                <w:color w:val="000000"/>
                <w:sz w:val="21"/>
                <w:szCs w:val="21"/>
                <w:u w:val="none"/>
              </w:rPr>
            </w:pPr>
          </w:p>
        </w:tc>
      </w:tr>
      <w:tr w14:paraId="7382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82" w:type="dxa"/>
            <w:gridSpan w:val="7"/>
            <w:tcBorders>
              <w:top w:val="nil"/>
              <w:left w:val="nil"/>
              <w:bottom w:val="nil"/>
              <w:right w:val="nil"/>
            </w:tcBorders>
            <w:shd w:val="clear" w:color="auto" w:fill="auto"/>
            <w:vAlign w:val="center"/>
          </w:tcPr>
          <w:p w14:paraId="75B104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说明：所有参数以设计图纸为准，材料以实际用量为准，未列材料以实际施工为准。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备注：开具13%增值税发票，所有材料设备含安装运行及调试。</w:t>
            </w:r>
          </w:p>
        </w:tc>
      </w:tr>
    </w:tbl>
    <w:p w14:paraId="03751C54">
      <w:pPr>
        <w:shd w:val="clear"/>
        <w:adjustRightInd w:val="0"/>
        <w:spacing w:line="360" w:lineRule="auto"/>
        <w:jc w:val="both"/>
        <w:rPr>
          <w:rFonts w:hint="eastAsia" w:ascii="宋体" w:hAnsi="宋体" w:eastAsia="宋体" w:cs="宋体"/>
          <w:b/>
          <w:bCs/>
          <w:color w:val="auto"/>
          <w:sz w:val="24"/>
          <w:szCs w:val="24"/>
          <w:highlight w:val="none"/>
        </w:rPr>
      </w:pPr>
    </w:p>
    <w:p w14:paraId="016756FE">
      <w:pPr>
        <w:shd w:val="clear"/>
        <w:adjustRightInd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（二）商务条款</w:t>
      </w:r>
    </w:p>
    <w:tbl>
      <w:tblPr>
        <w:tblStyle w:val="17"/>
        <w:tblW w:w="9079" w:type="dxa"/>
        <w:jc w:val="center"/>
        <w:tblCellSpacing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556"/>
        <w:gridCol w:w="5224"/>
        <w:gridCol w:w="1338"/>
      </w:tblGrid>
      <w:tr w14:paraId="580A122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07" w:hRule="atLeast"/>
          <w:tblCellSpacing w:w="0" w:type="dxa"/>
          <w:jc w:val="center"/>
        </w:trPr>
        <w:tc>
          <w:tcPr>
            <w:tcW w:w="961" w:type="dxa"/>
            <w:tcBorders>
              <w:tl2br w:val="nil"/>
              <w:tr2bl w:val="nil"/>
            </w:tcBorders>
            <w:shd w:val="clear" w:color="auto" w:fill="auto"/>
            <w:tcMar>
              <w:top w:w="15" w:type="dxa"/>
              <w:left w:w="15" w:type="dxa"/>
              <w:bottom w:w="15" w:type="dxa"/>
              <w:right w:w="15" w:type="dxa"/>
            </w:tcMar>
            <w:vAlign w:val="center"/>
          </w:tcPr>
          <w:p w14:paraId="5A80575A">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bCs w:val="0"/>
                <w:color w:val="000000" w:themeColor="text1"/>
                <w:sz w:val="21"/>
                <w:szCs w:val="21"/>
                <w:highlight w:val="none"/>
                <w14:textFill>
                  <w14:solidFill>
                    <w14:schemeClr w14:val="tx1"/>
                  </w14:solidFill>
                </w14:textFill>
              </w:rPr>
              <w:t>序号</w:t>
            </w:r>
          </w:p>
        </w:tc>
        <w:tc>
          <w:tcPr>
            <w:tcW w:w="1556" w:type="dxa"/>
            <w:tcBorders>
              <w:tl2br w:val="nil"/>
              <w:tr2bl w:val="nil"/>
            </w:tcBorders>
            <w:shd w:val="clear" w:color="auto" w:fill="auto"/>
            <w:tcMar>
              <w:top w:w="15" w:type="dxa"/>
              <w:left w:w="15" w:type="dxa"/>
              <w:bottom w:w="15" w:type="dxa"/>
              <w:right w:w="15" w:type="dxa"/>
            </w:tcMar>
            <w:vAlign w:val="center"/>
          </w:tcPr>
          <w:p w14:paraId="710ECE35">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条款名称</w:t>
            </w:r>
          </w:p>
        </w:tc>
        <w:tc>
          <w:tcPr>
            <w:tcW w:w="5224" w:type="dxa"/>
            <w:tcBorders>
              <w:tl2br w:val="nil"/>
              <w:tr2bl w:val="nil"/>
            </w:tcBorders>
            <w:shd w:val="clear" w:color="auto" w:fill="auto"/>
            <w:tcMar>
              <w:top w:w="15" w:type="dxa"/>
              <w:left w:w="15" w:type="dxa"/>
              <w:bottom w:w="15" w:type="dxa"/>
              <w:right w:w="15" w:type="dxa"/>
            </w:tcMar>
            <w:vAlign w:val="center"/>
          </w:tcPr>
          <w:p w14:paraId="507D6D25">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bCs w:val="0"/>
                <w:color w:val="000000" w:themeColor="text1"/>
                <w:sz w:val="21"/>
                <w:szCs w:val="21"/>
                <w:highlight w:val="none"/>
                <w14:textFill>
                  <w14:solidFill>
                    <w14:schemeClr w14:val="tx1"/>
                  </w14:solidFill>
                </w14:textFill>
              </w:rPr>
              <w:t>需求说明</w:t>
            </w:r>
          </w:p>
        </w:tc>
        <w:tc>
          <w:tcPr>
            <w:tcW w:w="1338" w:type="dxa"/>
            <w:tcBorders>
              <w:tl2br w:val="nil"/>
              <w:tr2bl w:val="nil"/>
            </w:tcBorders>
            <w:shd w:val="clear" w:color="auto" w:fill="auto"/>
            <w:tcMar>
              <w:top w:w="15" w:type="dxa"/>
              <w:left w:w="15" w:type="dxa"/>
              <w:bottom w:w="15" w:type="dxa"/>
              <w:right w:w="15" w:type="dxa"/>
            </w:tcMar>
            <w:vAlign w:val="center"/>
          </w:tcPr>
          <w:p w14:paraId="79E42637">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cs="宋体"/>
                <w:b/>
                <w:bCs w:val="0"/>
                <w:color w:val="000000" w:themeColor="text1"/>
                <w:sz w:val="21"/>
                <w:szCs w:val="21"/>
                <w:highlight w:val="none"/>
                <w:lang w:eastAsia="zh-CN"/>
                <w14:textFill>
                  <w14:solidFill>
                    <w14:schemeClr w14:val="tx1"/>
                  </w14:solidFill>
                </w14:textFill>
              </w:rPr>
              <w:t>备注</w:t>
            </w:r>
          </w:p>
        </w:tc>
      </w:tr>
      <w:tr w14:paraId="315E077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43" w:hRule="atLeast"/>
          <w:tblCellSpacing w:w="0" w:type="dxa"/>
          <w:jc w:val="center"/>
        </w:trPr>
        <w:tc>
          <w:tcPr>
            <w:tcW w:w="961" w:type="dxa"/>
            <w:tcBorders>
              <w:tl2br w:val="nil"/>
              <w:tr2bl w:val="nil"/>
            </w:tcBorders>
            <w:shd w:val="clear" w:color="auto" w:fill="auto"/>
            <w:tcMar>
              <w:top w:w="15" w:type="dxa"/>
              <w:left w:w="15" w:type="dxa"/>
              <w:bottom w:w="15" w:type="dxa"/>
              <w:right w:w="15" w:type="dxa"/>
            </w:tcMar>
            <w:vAlign w:val="center"/>
          </w:tcPr>
          <w:p w14:paraId="07A2D009">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b w:val="0"/>
                <w:bCs/>
                <w:color w:val="000000" w:themeColor="text1"/>
                <w:sz w:val="21"/>
                <w:szCs w:val="21"/>
                <w:highlight w:val="none"/>
                <w:lang w:val="en-US" w:eastAsia="zh-CN"/>
                <w14:textFill>
                  <w14:solidFill>
                    <w14:schemeClr w14:val="tx1"/>
                  </w14:solidFill>
                </w14:textFill>
              </w:rPr>
              <w:t>1</w:t>
            </w:r>
          </w:p>
        </w:tc>
        <w:tc>
          <w:tcPr>
            <w:tcW w:w="1556" w:type="dxa"/>
            <w:tcBorders>
              <w:tl2br w:val="nil"/>
              <w:tr2bl w:val="nil"/>
            </w:tcBorders>
            <w:shd w:val="clear" w:color="auto" w:fill="auto"/>
            <w:tcMar>
              <w:top w:w="15" w:type="dxa"/>
              <w:left w:w="15" w:type="dxa"/>
              <w:bottom w:w="15" w:type="dxa"/>
              <w:right w:w="15" w:type="dxa"/>
            </w:tcMar>
            <w:vAlign w:val="center"/>
          </w:tcPr>
          <w:p w14:paraId="7533DAED">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b w:val="0"/>
                <w:bCs w:val="0"/>
                <w:color w:val="000000" w:themeColor="text1"/>
                <w:sz w:val="21"/>
                <w:szCs w:val="21"/>
                <w:highlight w:val="none"/>
                <w:lang w:eastAsia="zh-CN"/>
                <w14:textFill>
                  <w14:solidFill>
                    <w14:schemeClr w14:val="tx1"/>
                  </w14:solidFill>
                </w14:textFill>
              </w:rPr>
              <w:t>交货地点</w:t>
            </w:r>
          </w:p>
        </w:tc>
        <w:tc>
          <w:tcPr>
            <w:tcW w:w="5224" w:type="dxa"/>
            <w:tcBorders>
              <w:tl2br w:val="nil"/>
              <w:tr2bl w:val="nil"/>
            </w:tcBorders>
            <w:shd w:val="clear" w:color="auto" w:fill="auto"/>
            <w:tcMar>
              <w:top w:w="15" w:type="dxa"/>
              <w:left w:w="15" w:type="dxa"/>
              <w:bottom w:w="15" w:type="dxa"/>
              <w:right w:w="15" w:type="dxa"/>
            </w:tcMar>
            <w:vAlign w:val="center"/>
          </w:tcPr>
          <w:p w14:paraId="559148F7">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采购人指定地点。</w:t>
            </w:r>
          </w:p>
        </w:tc>
        <w:tc>
          <w:tcPr>
            <w:tcW w:w="1338" w:type="dxa"/>
            <w:tcBorders>
              <w:tl2br w:val="nil"/>
              <w:tr2bl w:val="nil"/>
            </w:tcBorders>
            <w:shd w:val="clear" w:color="auto" w:fill="auto"/>
            <w:tcMar>
              <w:top w:w="15" w:type="dxa"/>
              <w:left w:w="15" w:type="dxa"/>
              <w:bottom w:w="15" w:type="dxa"/>
              <w:right w:w="15" w:type="dxa"/>
            </w:tcMar>
            <w:vAlign w:val="center"/>
          </w:tcPr>
          <w:p w14:paraId="2B06726B">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b w:val="0"/>
                <w:bCs w:val="0"/>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不可负偏离</w:t>
            </w:r>
          </w:p>
        </w:tc>
      </w:tr>
      <w:tr w14:paraId="0D752F6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43" w:hRule="atLeast"/>
          <w:tblCellSpacing w:w="0" w:type="dxa"/>
          <w:jc w:val="center"/>
        </w:trPr>
        <w:tc>
          <w:tcPr>
            <w:tcW w:w="961" w:type="dxa"/>
            <w:tcBorders>
              <w:tl2br w:val="nil"/>
              <w:tr2bl w:val="nil"/>
            </w:tcBorders>
            <w:shd w:val="clear" w:color="auto" w:fill="auto"/>
            <w:tcMar>
              <w:top w:w="15" w:type="dxa"/>
              <w:left w:w="15" w:type="dxa"/>
              <w:bottom w:w="15" w:type="dxa"/>
              <w:right w:w="15" w:type="dxa"/>
            </w:tcMar>
            <w:vAlign w:val="center"/>
          </w:tcPr>
          <w:p w14:paraId="29093A42">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b w:val="0"/>
                <w:bCs/>
                <w:color w:val="000000" w:themeColor="text1"/>
                <w:sz w:val="21"/>
                <w:szCs w:val="21"/>
                <w:highlight w:val="none"/>
                <w14:textFill>
                  <w14:solidFill>
                    <w14:schemeClr w14:val="tx1"/>
                  </w14:solidFill>
                </w14:textFill>
              </w:rPr>
              <w:t>2</w:t>
            </w:r>
          </w:p>
        </w:tc>
        <w:tc>
          <w:tcPr>
            <w:tcW w:w="1556" w:type="dxa"/>
            <w:tcBorders>
              <w:tl2br w:val="nil"/>
              <w:tr2bl w:val="nil"/>
            </w:tcBorders>
            <w:shd w:val="clear" w:color="auto" w:fill="auto"/>
            <w:tcMar>
              <w:top w:w="15" w:type="dxa"/>
              <w:left w:w="15" w:type="dxa"/>
              <w:bottom w:w="15" w:type="dxa"/>
              <w:right w:w="15" w:type="dxa"/>
            </w:tcMar>
            <w:vAlign w:val="center"/>
          </w:tcPr>
          <w:p w14:paraId="3173449D">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b w:val="0"/>
                <w:bCs w:val="0"/>
                <w:color w:val="000000" w:themeColor="text1"/>
                <w:sz w:val="21"/>
                <w:szCs w:val="21"/>
                <w:highlight w:val="none"/>
                <w:lang w:eastAsia="zh-CN"/>
                <w14:textFill>
                  <w14:solidFill>
                    <w14:schemeClr w14:val="tx1"/>
                  </w14:solidFill>
                </w14:textFill>
              </w:rPr>
              <w:t>合同履行期限</w:t>
            </w:r>
          </w:p>
        </w:tc>
        <w:tc>
          <w:tcPr>
            <w:tcW w:w="5224" w:type="dxa"/>
            <w:tcBorders>
              <w:tl2br w:val="nil"/>
              <w:tr2bl w:val="nil"/>
            </w:tcBorders>
            <w:shd w:val="clear" w:color="auto" w:fill="auto"/>
            <w:tcMar>
              <w:top w:w="15" w:type="dxa"/>
              <w:left w:w="15" w:type="dxa"/>
              <w:bottom w:w="15" w:type="dxa"/>
              <w:right w:w="15" w:type="dxa"/>
            </w:tcMar>
            <w:vAlign w:val="center"/>
          </w:tcPr>
          <w:p w14:paraId="374A4C22">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中标后3个日内完成合同的签订，合同签订后45天内完成设备安装调试并交付使用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tc>
        <w:tc>
          <w:tcPr>
            <w:tcW w:w="1338" w:type="dxa"/>
            <w:tcBorders>
              <w:tl2br w:val="nil"/>
              <w:tr2bl w:val="nil"/>
            </w:tcBorders>
            <w:shd w:val="clear" w:color="auto" w:fill="auto"/>
            <w:tcMar>
              <w:top w:w="15" w:type="dxa"/>
              <w:left w:w="15" w:type="dxa"/>
              <w:bottom w:w="15" w:type="dxa"/>
              <w:right w:w="15" w:type="dxa"/>
            </w:tcMar>
            <w:vAlign w:val="center"/>
          </w:tcPr>
          <w:p w14:paraId="16E18944">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不可负偏离</w:t>
            </w:r>
          </w:p>
        </w:tc>
      </w:tr>
      <w:tr w14:paraId="76F2182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449" w:hRule="atLeast"/>
          <w:tblCellSpacing w:w="0" w:type="dxa"/>
          <w:jc w:val="center"/>
        </w:trPr>
        <w:tc>
          <w:tcPr>
            <w:tcW w:w="961" w:type="dxa"/>
            <w:tcBorders>
              <w:tl2br w:val="nil"/>
              <w:tr2bl w:val="nil"/>
            </w:tcBorders>
            <w:shd w:val="clear" w:color="auto" w:fill="auto"/>
            <w:tcMar>
              <w:top w:w="15" w:type="dxa"/>
              <w:left w:w="15" w:type="dxa"/>
              <w:bottom w:w="15" w:type="dxa"/>
              <w:right w:w="15" w:type="dxa"/>
            </w:tcMar>
            <w:vAlign w:val="center"/>
          </w:tcPr>
          <w:p w14:paraId="535F1A34">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b w:val="0"/>
                <w:bCs/>
                <w:color w:val="000000" w:themeColor="text1"/>
                <w:sz w:val="21"/>
                <w:szCs w:val="21"/>
                <w:highlight w:val="none"/>
                <w14:textFill>
                  <w14:solidFill>
                    <w14:schemeClr w14:val="tx1"/>
                  </w14:solidFill>
                </w14:textFill>
              </w:rPr>
              <w:t>3</w:t>
            </w:r>
          </w:p>
        </w:tc>
        <w:tc>
          <w:tcPr>
            <w:tcW w:w="1556" w:type="dxa"/>
            <w:tcBorders>
              <w:tl2br w:val="nil"/>
              <w:tr2bl w:val="nil"/>
            </w:tcBorders>
            <w:shd w:val="clear" w:color="auto" w:fill="auto"/>
            <w:tcMar>
              <w:top w:w="15" w:type="dxa"/>
              <w:left w:w="15" w:type="dxa"/>
              <w:bottom w:w="15" w:type="dxa"/>
              <w:right w:w="15" w:type="dxa"/>
            </w:tcMar>
            <w:vAlign w:val="center"/>
          </w:tcPr>
          <w:p w14:paraId="69B82980">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14:textFill>
                  <w14:solidFill>
                    <w14:schemeClr w14:val="tx1"/>
                  </w14:solidFill>
                </w14:textFill>
              </w:rPr>
              <w:t>付款方式</w:t>
            </w:r>
          </w:p>
        </w:tc>
        <w:tc>
          <w:tcPr>
            <w:tcW w:w="5224" w:type="dxa"/>
            <w:tcBorders>
              <w:tl2br w:val="nil"/>
              <w:tr2bl w:val="nil"/>
            </w:tcBorders>
            <w:shd w:val="clear" w:color="auto" w:fill="auto"/>
            <w:tcMar>
              <w:top w:w="15" w:type="dxa"/>
              <w:left w:w="15" w:type="dxa"/>
              <w:bottom w:w="15" w:type="dxa"/>
              <w:right w:w="15" w:type="dxa"/>
            </w:tcMar>
            <w:vAlign w:val="center"/>
          </w:tcPr>
          <w:p w14:paraId="6C8DF340">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default"/>
                <w:lang w:val="en-US" w:eastAsia="zh-CN"/>
              </w:rPr>
            </w:pPr>
            <w:r>
              <w:rPr>
                <w:rFonts w:hint="eastAsia"/>
                <w:color w:val="000000" w:themeColor="text1"/>
                <w:sz w:val="21"/>
                <w:szCs w:val="21"/>
                <w:highlight w:val="none"/>
                <w:lang w:val="en-US" w:eastAsia="zh-CN"/>
                <w14:textFill>
                  <w14:solidFill>
                    <w14:schemeClr w14:val="tx1"/>
                  </w14:solidFill>
                </w14:textFill>
              </w:rPr>
              <w:t>合同签订后，货物设备到达采购人指定地点后（并经采购人验收）付至到货金额的40%，货物设备全部安装完成调试并预验收合格付至结算价款的80%，货物设备通电运行90天后，无任何质量问题，付至结算价的95%，余款5%在质保期期满且无质量问题后支付。（采用银行汇票、供应链融资租赁或60%承兑汇票方式支付。）</w:t>
            </w:r>
          </w:p>
        </w:tc>
        <w:tc>
          <w:tcPr>
            <w:tcW w:w="1338" w:type="dxa"/>
            <w:tcBorders>
              <w:tl2br w:val="nil"/>
              <w:tr2bl w:val="nil"/>
            </w:tcBorders>
            <w:shd w:val="clear" w:color="auto" w:fill="auto"/>
            <w:tcMar>
              <w:top w:w="15" w:type="dxa"/>
              <w:left w:w="15" w:type="dxa"/>
              <w:bottom w:w="15" w:type="dxa"/>
              <w:right w:w="15" w:type="dxa"/>
            </w:tcMar>
            <w:vAlign w:val="center"/>
          </w:tcPr>
          <w:p w14:paraId="2D2E30B8">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cs="仿宋_GB2312"/>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不可负偏离</w:t>
            </w:r>
          </w:p>
        </w:tc>
      </w:tr>
      <w:tr w14:paraId="4EB0BDB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055" w:hRule="atLeast"/>
          <w:tblCellSpacing w:w="0" w:type="dxa"/>
          <w:jc w:val="center"/>
        </w:trPr>
        <w:tc>
          <w:tcPr>
            <w:tcW w:w="961" w:type="dxa"/>
            <w:tcBorders>
              <w:tl2br w:val="nil"/>
              <w:tr2bl w:val="nil"/>
            </w:tcBorders>
            <w:shd w:val="clear" w:color="auto" w:fill="auto"/>
            <w:tcMar>
              <w:top w:w="15" w:type="dxa"/>
              <w:left w:w="15" w:type="dxa"/>
              <w:bottom w:w="15" w:type="dxa"/>
              <w:right w:w="15" w:type="dxa"/>
            </w:tcMar>
            <w:vAlign w:val="center"/>
          </w:tcPr>
          <w:p w14:paraId="1B80814A">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b w:val="0"/>
                <w:bCs/>
                <w:color w:val="000000" w:themeColor="text1"/>
                <w:sz w:val="21"/>
                <w:szCs w:val="21"/>
                <w:highlight w:val="none"/>
                <w14:textFill>
                  <w14:solidFill>
                    <w14:schemeClr w14:val="tx1"/>
                  </w14:solidFill>
                </w14:textFill>
              </w:rPr>
              <w:t>4</w:t>
            </w:r>
          </w:p>
        </w:tc>
        <w:tc>
          <w:tcPr>
            <w:tcW w:w="1556" w:type="dxa"/>
            <w:tcBorders>
              <w:tl2br w:val="nil"/>
              <w:tr2bl w:val="nil"/>
            </w:tcBorders>
            <w:shd w:val="clear" w:color="auto" w:fill="auto"/>
            <w:tcMar>
              <w:top w:w="15" w:type="dxa"/>
              <w:left w:w="15" w:type="dxa"/>
              <w:bottom w:w="15" w:type="dxa"/>
              <w:right w:w="15" w:type="dxa"/>
            </w:tcMar>
            <w:vAlign w:val="center"/>
          </w:tcPr>
          <w:p w14:paraId="0B8C9079">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b w:val="0"/>
                <w:bCs/>
                <w:color w:val="000000" w:themeColor="text1"/>
                <w:sz w:val="21"/>
                <w:szCs w:val="21"/>
                <w:highlight w:val="none"/>
                <w14:textFill>
                  <w14:solidFill>
                    <w14:schemeClr w14:val="tx1"/>
                  </w14:solidFill>
                </w14:textFill>
              </w:rPr>
              <w:t>报价方式</w:t>
            </w:r>
          </w:p>
        </w:tc>
        <w:tc>
          <w:tcPr>
            <w:tcW w:w="5224" w:type="dxa"/>
            <w:tcBorders>
              <w:tl2br w:val="nil"/>
              <w:tr2bl w:val="nil"/>
            </w:tcBorders>
            <w:shd w:val="clear" w:color="auto" w:fill="auto"/>
            <w:tcMar>
              <w:top w:w="15" w:type="dxa"/>
              <w:left w:w="15" w:type="dxa"/>
              <w:bottom w:w="15" w:type="dxa"/>
              <w:right w:w="15" w:type="dxa"/>
            </w:tcMar>
            <w:vAlign w:val="center"/>
          </w:tcPr>
          <w:p w14:paraId="550FE7B0">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1.以人民币报价，投标人报价应包括设计、采购、运输、报关、商检、培训、相关部门验</w:t>
            </w:r>
            <w:bookmarkStart w:id="94" w:name="_GoBack"/>
            <w:bookmarkEnd w:id="94"/>
            <w:r>
              <w:rPr>
                <w:rFonts w:hint="eastAsia"/>
                <w:color w:val="000000" w:themeColor="text1"/>
                <w:sz w:val="21"/>
                <w:szCs w:val="21"/>
                <w:highlight w:val="none"/>
                <w:lang w:val="en-US" w:eastAsia="zh-CN"/>
                <w14:textFill>
                  <w14:solidFill>
                    <w14:schemeClr w14:val="tx1"/>
                  </w14:solidFill>
                </w14:textFill>
              </w:rPr>
              <w:t>收及保修期内的维护保养等所有费有，以及投标人认为必要的其他货物、材料、工程、服务。</w:t>
            </w:r>
          </w:p>
          <w:p w14:paraId="18C4EF3F">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2.投标人应自行增加设备正常、合法、安全运行及使用所必须但招标文件没有包含的所有设备、版权、专利等一切费用。代理服务费由中标人支付，收费参照国家及地方标准计取。</w:t>
            </w:r>
          </w:p>
        </w:tc>
        <w:tc>
          <w:tcPr>
            <w:tcW w:w="1338" w:type="dxa"/>
            <w:tcBorders>
              <w:tl2br w:val="nil"/>
              <w:tr2bl w:val="nil"/>
            </w:tcBorders>
            <w:shd w:val="clear" w:color="auto" w:fill="auto"/>
            <w:tcMar>
              <w:top w:w="15" w:type="dxa"/>
              <w:left w:w="15" w:type="dxa"/>
              <w:bottom w:w="15" w:type="dxa"/>
              <w:right w:w="15" w:type="dxa"/>
            </w:tcMar>
            <w:vAlign w:val="center"/>
          </w:tcPr>
          <w:p w14:paraId="5F30671D">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不可负偏离</w:t>
            </w:r>
          </w:p>
        </w:tc>
      </w:tr>
      <w:tr w14:paraId="23EAE89F">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055" w:hRule="atLeast"/>
          <w:tblCellSpacing w:w="0" w:type="dxa"/>
          <w:jc w:val="center"/>
        </w:trPr>
        <w:tc>
          <w:tcPr>
            <w:tcW w:w="961" w:type="dxa"/>
            <w:tcBorders>
              <w:tl2br w:val="nil"/>
              <w:tr2bl w:val="nil"/>
            </w:tcBorders>
            <w:shd w:val="clear" w:color="auto" w:fill="auto"/>
            <w:tcMar>
              <w:top w:w="15" w:type="dxa"/>
              <w:left w:w="15" w:type="dxa"/>
              <w:bottom w:w="15" w:type="dxa"/>
              <w:right w:w="15" w:type="dxa"/>
            </w:tcMar>
            <w:vAlign w:val="center"/>
          </w:tcPr>
          <w:p w14:paraId="4CD8F6C3">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b w:val="0"/>
                <w:bCs/>
                <w:color w:val="000000" w:themeColor="text1"/>
                <w:sz w:val="21"/>
                <w:szCs w:val="21"/>
                <w:highlight w:val="none"/>
                <w:lang w:val="en-US" w:eastAsia="zh-CN"/>
                <w14:textFill>
                  <w14:solidFill>
                    <w14:schemeClr w14:val="tx1"/>
                  </w14:solidFill>
                </w14:textFill>
              </w:rPr>
            </w:pPr>
            <w:r>
              <w:rPr>
                <w:rFonts w:hint="eastAsia" w:ascii="宋体" w:hAnsi="宋体"/>
                <w:b w:val="0"/>
                <w:bCs/>
                <w:color w:val="000000" w:themeColor="text1"/>
                <w:sz w:val="21"/>
                <w:szCs w:val="21"/>
                <w:highlight w:val="none"/>
                <w:lang w:val="en-US" w:eastAsia="zh-CN"/>
                <w14:textFill>
                  <w14:solidFill>
                    <w14:schemeClr w14:val="tx1"/>
                  </w14:solidFill>
                </w14:textFill>
              </w:rPr>
              <w:t>5</w:t>
            </w:r>
          </w:p>
        </w:tc>
        <w:tc>
          <w:tcPr>
            <w:tcW w:w="1556" w:type="dxa"/>
            <w:tcBorders>
              <w:tl2br w:val="nil"/>
              <w:tr2bl w:val="nil"/>
            </w:tcBorders>
            <w:shd w:val="clear" w:color="auto" w:fill="auto"/>
            <w:tcMar>
              <w:top w:w="15" w:type="dxa"/>
              <w:left w:w="15" w:type="dxa"/>
              <w:bottom w:w="15" w:type="dxa"/>
              <w:right w:w="15" w:type="dxa"/>
            </w:tcMar>
            <w:vAlign w:val="center"/>
          </w:tcPr>
          <w:p w14:paraId="4AA3C853">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b w:val="0"/>
                <w:bCs/>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验收</w:t>
            </w:r>
          </w:p>
        </w:tc>
        <w:tc>
          <w:tcPr>
            <w:tcW w:w="5224" w:type="dxa"/>
            <w:tcBorders>
              <w:tl2br w:val="nil"/>
              <w:tr2bl w:val="nil"/>
            </w:tcBorders>
            <w:shd w:val="clear" w:color="auto" w:fill="auto"/>
            <w:tcMar>
              <w:top w:w="15" w:type="dxa"/>
              <w:left w:w="15" w:type="dxa"/>
              <w:bottom w:w="15" w:type="dxa"/>
              <w:right w:w="15" w:type="dxa"/>
            </w:tcMar>
            <w:vAlign w:val="center"/>
          </w:tcPr>
          <w:p w14:paraId="53B9C40A">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安装调试完成后，由招标人、中标供应商和专家共同参加下进行验收。验收时不符合合同规定标准的货物，采购人有权拒绝验收；因此产生的一切经济损失由中标供应商承担。聘请专家产生的所有费用由中标供应商承担。</w:t>
            </w:r>
          </w:p>
          <w:p w14:paraId="4CA260DB">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2.验收按国家有关的规定、规范进行。</w:t>
            </w:r>
          </w:p>
          <w:p w14:paraId="636F63B8">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验收时如发现所交付的货物有短装、次品、损坏或其它不符合招标文件规定之情形者，招标人应做出详尽的现场记录，或由招标人和中标供应商双方签署备忘录。此现场记录或备忘录可用作补充、缺失和更换损坏部件的有效证据。由此产生的有关费用由中标供应商承担。</w:t>
            </w:r>
          </w:p>
          <w:p w14:paraId="4675DB4C">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4.中标供应商须为验收提供必需的工具及其他便利条件。</w:t>
            </w:r>
          </w:p>
          <w:p w14:paraId="09AEBD1E">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5.在验收过程中发现数量不足或有质量、技术等问题，中标供应商应负责按照采购人的要求采取补足、更换或退货等措施妥善处理，并承担由此发生的一切费用和损失。</w:t>
            </w:r>
          </w:p>
          <w:p w14:paraId="7931B900">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6.对于不合格的货物，中标供应商必须在7个工作日里及时完成更换，并保证验收合格。7天内不能更换的或更换的验收不合格，按逾期交货处理。</w:t>
            </w:r>
          </w:p>
        </w:tc>
        <w:tc>
          <w:tcPr>
            <w:tcW w:w="1338" w:type="dxa"/>
            <w:tcBorders>
              <w:tl2br w:val="nil"/>
              <w:tr2bl w:val="nil"/>
            </w:tcBorders>
            <w:shd w:val="clear" w:color="auto" w:fill="auto"/>
            <w:tcMar>
              <w:top w:w="15" w:type="dxa"/>
              <w:left w:w="15" w:type="dxa"/>
              <w:bottom w:w="15" w:type="dxa"/>
              <w:right w:w="15" w:type="dxa"/>
            </w:tcMar>
            <w:vAlign w:val="center"/>
          </w:tcPr>
          <w:p w14:paraId="11B75EE4">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不可负偏离</w:t>
            </w:r>
          </w:p>
        </w:tc>
      </w:tr>
      <w:tr w14:paraId="25498F6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20" w:hRule="atLeast"/>
          <w:tblCellSpacing w:w="0" w:type="dxa"/>
          <w:jc w:val="center"/>
        </w:trPr>
        <w:tc>
          <w:tcPr>
            <w:tcW w:w="961" w:type="dxa"/>
            <w:tcBorders>
              <w:tl2br w:val="nil"/>
              <w:tr2bl w:val="nil"/>
            </w:tcBorders>
            <w:shd w:val="clear" w:color="auto" w:fill="auto"/>
            <w:tcMar>
              <w:top w:w="15" w:type="dxa"/>
              <w:left w:w="15" w:type="dxa"/>
              <w:bottom w:w="15" w:type="dxa"/>
              <w:right w:w="15" w:type="dxa"/>
            </w:tcMar>
            <w:vAlign w:val="center"/>
          </w:tcPr>
          <w:p w14:paraId="5A272721">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center"/>
              <w:textAlignment w:val="auto"/>
              <w:rPr>
                <w:rFonts w:hint="default" w:ascii="宋体" w:hAnsi="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6</w:t>
            </w:r>
          </w:p>
        </w:tc>
        <w:tc>
          <w:tcPr>
            <w:tcW w:w="1556" w:type="dxa"/>
            <w:tcBorders>
              <w:tl2br w:val="nil"/>
              <w:tr2bl w:val="nil"/>
            </w:tcBorders>
            <w:shd w:val="clear" w:color="auto" w:fill="auto"/>
            <w:tcMar>
              <w:top w:w="15" w:type="dxa"/>
              <w:left w:w="15" w:type="dxa"/>
              <w:bottom w:w="15" w:type="dxa"/>
              <w:right w:w="15" w:type="dxa"/>
            </w:tcMar>
            <w:vAlign w:val="center"/>
          </w:tcPr>
          <w:p w14:paraId="41996A94">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cs="宋体"/>
                <w:b w:val="0"/>
                <w:bCs/>
                <w:color w:val="000000" w:themeColor="text1"/>
                <w:kern w:val="0"/>
                <w:sz w:val="21"/>
                <w:szCs w:val="21"/>
                <w:highlight w:val="none"/>
                <w:lang w:eastAsia="zh-CN"/>
                <w14:textFill>
                  <w14:solidFill>
                    <w14:schemeClr w14:val="tx1"/>
                  </w14:solidFill>
                </w14:textFill>
              </w:rPr>
            </w:pPr>
            <w:r>
              <w:rPr>
                <w:rFonts w:hint="eastAsia" w:ascii="宋体" w:hAnsi="宋体" w:cs="宋体"/>
                <w:b w:val="0"/>
                <w:bCs/>
                <w:color w:val="000000" w:themeColor="text1"/>
                <w:kern w:val="0"/>
                <w:sz w:val="21"/>
                <w:szCs w:val="21"/>
                <w:highlight w:val="none"/>
                <w:lang w:eastAsia="zh-CN"/>
                <w14:textFill>
                  <w14:solidFill>
                    <w14:schemeClr w14:val="tx1"/>
                  </w14:solidFill>
                </w14:textFill>
              </w:rPr>
              <w:t>质保</w:t>
            </w:r>
          </w:p>
        </w:tc>
        <w:tc>
          <w:tcPr>
            <w:tcW w:w="5224" w:type="dxa"/>
            <w:tcBorders>
              <w:tl2br w:val="nil"/>
              <w:tr2bl w:val="nil"/>
            </w:tcBorders>
            <w:shd w:val="clear" w:color="auto" w:fill="auto"/>
            <w:tcMar>
              <w:top w:w="15" w:type="dxa"/>
              <w:left w:w="15" w:type="dxa"/>
              <w:bottom w:w="15" w:type="dxa"/>
              <w:right w:w="15" w:type="dxa"/>
            </w:tcMar>
            <w:vAlign w:val="center"/>
          </w:tcPr>
          <w:p w14:paraId="128A3B1C">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left"/>
              <w:textAlignment w:val="auto"/>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质保期及售后服务：</w:t>
            </w:r>
          </w:p>
          <w:p w14:paraId="2E35D6E6">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left"/>
              <w:textAlignment w:val="auto"/>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1.自本项目验收完成之日起计算，中标供应商对招标人所采购的软硬件设备提供两年质保，在质保期内设备的质量问题均由中标供应商负责免费维修，包括本项目所有软硬件设备、零配件免费更换和软件系统的升级；</w:t>
            </w:r>
          </w:p>
          <w:p w14:paraId="1AEDC754">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left"/>
              <w:textAlignment w:val="auto"/>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2.确保提供的设备是全新、优质、合格的产品，符合国家的质量标准；质保期内，售后服务所产生的一切费用由中标供应商自行承担。</w:t>
            </w:r>
          </w:p>
          <w:p w14:paraId="0B3C5295">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left"/>
              <w:textAlignment w:val="auto"/>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3.质保期内，如出现故障，中标供应商需提供7*24小时服务，2小时内响应，一般性故障48小时内恢复。</w:t>
            </w:r>
          </w:p>
        </w:tc>
        <w:tc>
          <w:tcPr>
            <w:tcW w:w="1338" w:type="dxa"/>
            <w:tcBorders>
              <w:tl2br w:val="nil"/>
              <w:tr2bl w:val="nil"/>
            </w:tcBorders>
            <w:shd w:val="clear" w:color="auto" w:fill="auto"/>
            <w:tcMar>
              <w:top w:w="15" w:type="dxa"/>
              <w:left w:w="15" w:type="dxa"/>
              <w:bottom w:w="15" w:type="dxa"/>
              <w:right w:w="15" w:type="dxa"/>
            </w:tcMar>
            <w:vAlign w:val="center"/>
          </w:tcPr>
          <w:p w14:paraId="149D0154">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不可负偏离</w:t>
            </w:r>
          </w:p>
        </w:tc>
      </w:tr>
      <w:tr w14:paraId="5987866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20" w:hRule="atLeast"/>
          <w:tblCellSpacing w:w="0" w:type="dxa"/>
          <w:jc w:val="center"/>
        </w:trPr>
        <w:tc>
          <w:tcPr>
            <w:tcW w:w="961" w:type="dxa"/>
            <w:tcBorders>
              <w:tl2br w:val="nil"/>
              <w:tr2bl w:val="nil"/>
            </w:tcBorders>
            <w:shd w:val="clear" w:color="auto" w:fill="auto"/>
            <w:tcMar>
              <w:top w:w="15" w:type="dxa"/>
              <w:left w:w="15" w:type="dxa"/>
              <w:bottom w:w="15" w:type="dxa"/>
              <w:right w:w="15" w:type="dxa"/>
            </w:tcMar>
            <w:vAlign w:val="center"/>
          </w:tcPr>
          <w:p w14:paraId="090D4475">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center"/>
              <w:textAlignment w:val="auto"/>
              <w:rPr>
                <w:rFonts w:hint="default" w:ascii="宋体" w:hAnsi="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7</w:t>
            </w:r>
          </w:p>
        </w:tc>
        <w:tc>
          <w:tcPr>
            <w:tcW w:w="1556" w:type="dxa"/>
            <w:tcBorders>
              <w:tl2br w:val="nil"/>
              <w:tr2bl w:val="nil"/>
            </w:tcBorders>
            <w:shd w:val="clear" w:color="auto" w:fill="auto"/>
            <w:tcMar>
              <w:top w:w="15" w:type="dxa"/>
              <w:left w:w="15" w:type="dxa"/>
              <w:bottom w:w="15" w:type="dxa"/>
              <w:right w:w="15" w:type="dxa"/>
            </w:tcMar>
            <w:vAlign w:val="center"/>
          </w:tcPr>
          <w:p w14:paraId="5B4F5FB6">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cs="宋体"/>
                <w:b w:val="0"/>
                <w:bCs/>
                <w:color w:val="000000" w:themeColor="text1"/>
                <w:kern w:val="0"/>
                <w:sz w:val="21"/>
                <w:szCs w:val="21"/>
                <w:highlight w:val="none"/>
                <w:lang w:eastAsia="zh-CN"/>
                <w14:textFill>
                  <w14:solidFill>
                    <w14:schemeClr w14:val="tx1"/>
                  </w14:solidFill>
                </w14:textFill>
              </w:rPr>
            </w:pPr>
            <w:r>
              <w:rPr>
                <w:rFonts w:hint="eastAsia" w:ascii="宋体" w:hAnsi="宋体" w:cs="宋体"/>
                <w:b w:val="0"/>
                <w:bCs/>
                <w:color w:val="000000" w:themeColor="text1"/>
                <w:kern w:val="0"/>
                <w:sz w:val="21"/>
                <w:szCs w:val="21"/>
                <w:highlight w:val="none"/>
                <w:lang w:eastAsia="zh-CN"/>
                <w14:textFill>
                  <w14:solidFill>
                    <w14:schemeClr w14:val="tx1"/>
                  </w14:solidFill>
                </w14:textFill>
              </w:rPr>
              <w:t>货物要求</w:t>
            </w:r>
          </w:p>
        </w:tc>
        <w:tc>
          <w:tcPr>
            <w:tcW w:w="5224" w:type="dxa"/>
            <w:tcBorders>
              <w:tl2br w:val="nil"/>
              <w:tr2bl w:val="nil"/>
            </w:tcBorders>
            <w:shd w:val="clear" w:color="auto" w:fill="auto"/>
            <w:tcMar>
              <w:top w:w="15" w:type="dxa"/>
              <w:left w:w="15" w:type="dxa"/>
              <w:bottom w:w="15" w:type="dxa"/>
              <w:right w:w="15" w:type="dxa"/>
            </w:tcMar>
            <w:vAlign w:val="center"/>
          </w:tcPr>
          <w:p w14:paraId="28F6672C">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left"/>
              <w:textAlignment w:val="auto"/>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1.货物为符合国家标准的全新产品，并未对其作任何的更改和替换，无污染，无侵权行为、表面无划损、无任何缺陷隐患，在中国境内可依常规安全合法使用；</w:t>
            </w:r>
          </w:p>
          <w:p w14:paraId="71ED503E">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left"/>
              <w:textAlignment w:val="auto"/>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2.中标供应商应保证，招标人在中华人民共和国使用中标供应商所提供的货物或货物的任何一部分时，免受第三方提出的侵犯其专利权、商标权或工业设计权的起诉。</w:t>
            </w:r>
          </w:p>
        </w:tc>
        <w:tc>
          <w:tcPr>
            <w:tcW w:w="1338" w:type="dxa"/>
            <w:tcBorders>
              <w:tl2br w:val="nil"/>
              <w:tr2bl w:val="nil"/>
            </w:tcBorders>
            <w:shd w:val="clear" w:color="auto" w:fill="auto"/>
            <w:tcMar>
              <w:top w:w="15" w:type="dxa"/>
              <w:left w:w="15" w:type="dxa"/>
              <w:bottom w:w="15" w:type="dxa"/>
              <w:right w:w="15" w:type="dxa"/>
            </w:tcMar>
            <w:vAlign w:val="center"/>
          </w:tcPr>
          <w:p w14:paraId="33AA7D11">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不可负偏离</w:t>
            </w:r>
          </w:p>
        </w:tc>
      </w:tr>
    </w:tbl>
    <w:p w14:paraId="0464D846">
      <w:pPr>
        <w:spacing w:line="440" w:lineRule="exact"/>
        <w:rPr>
          <w:rFonts w:asci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注：</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w:t>
      </w:r>
      <w:r>
        <w:rPr>
          <w:rFonts w:ascii="宋体" w:hAnsi="宋体" w:cs="宋体"/>
          <w:b/>
          <w:bCs/>
          <w:color w:val="000000" w:themeColor="text1"/>
          <w:sz w:val="24"/>
          <w:szCs w:val="24"/>
          <w:highlight w:val="none"/>
          <w14:textFill>
            <w14:solidFill>
              <w14:schemeClr w14:val="tx1"/>
            </w14:solidFill>
          </w14:textFill>
        </w:rPr>
        <w:t>1</w:t>
      </w:r>
      <w:r>
        <w:rPr>
          <w:rFonts w:hint="eastAsia" w:ascii="宋体" w:hAnsi="宋体" w:cs="宋体"/>
          <w:b/>
          <w:bCs/>
          <w:color w:val="000000" w:themeColor="text1"/>
          <w:sz w:val="24"/>
          <w:szCs w:val="24"/>
          <w:highlight w:val="none"/>
          <w14:textFill>
            <w14:solidFill>
              <w14:schemeClr w14:val="tx1"/>
            </w14:solidFill>
          </w14:textFill>
        </w:rPr>
        <w:t>、以上商务条款投标人必须完全响应，否则作无效投标处理。</w:t>
      </w:r>
    </w:p>
    <w:p w14:paraId="27915878">
      <w:pPr>
        <w:numPr>
          <w:ilvl w:val="0"/>
          <w:numId w:val="0"/>
        </w:numPr>
        <w:shd w:val="clear"/>
        <w:spacing w:line="440" w:lineRule="exact"/>
        <w:ind w:firstLine="723" w:firstLineChars="300"/>
        <w:jc w:val="left"/>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93" w:name="_Toc26331"/>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若无特殊说明，本招标文件中所述及的“日”和“天”均指“日历日”。</w:t>
      </w:r>
      <w:bookmarkEnd w:id="93"/>
    </w:p>
    <w:p w14:paraId="7693C853">
      <w:pPr>
        <w:pStyle w:val="51"/>
        <w:shd w:val="clear"/>
        <w:spacing w:line="360" w:lineRule="auto"/>
        <w:ind w:left="0" w:leftChars="0" w:firstLine="0" w:firstLineChars="0"/>
        <w:jc w:val="left"/>
        <w:rPr>
          <w:rFonts w:hint="eastAsia" w:ascii="宋体" w:hAnsi="宋体" w:eastAsia="宋体" w:cs="宋体"/>
          <w:highlight w:val="none"/>
        </w:rPr>
      </w:pPr>
    </w:p>
    <w:sectPr>
      <w:footerReference r:id="rId15"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21092">
    <w:pPr>
      <w:framePr w:wrap="around"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04E41FF1">
    <w:pPr>
      <w:tabs>
        <w:tab w:val="center" w:pos="4153"/>
        <w:tab w:val="right"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CFF1C">
    <w:pPr>
      <w:framePr w:wrap="around" w:vAnchor="text" w:hAnchor="margin" w:xAlign="center" w:y="1"/>
      <w:tabs>
        <w:tab w:val="center" w:pos="4153"/>
        <w:tab w:val="right" w:pos="8306"/>
      </w:tabs>
    </w:pPr>
    <w:r>
      <w:fldChar w:fldCharType="begin"/>
    </w:r>
    <w:r>
      <w:instrText xml:space="preserve">PAGE  </w:instrText>
    </w:r>
    <w:r>
      <w:fldChar w:fldCharType="end"/>
    </w:r>
  </w:p>
  <w:p w14:paraId="68F032E6">
    <w:pPr>
      <w:tabs>
        <w:tab w:val="center" w:pos="4153"/>
        <w:tab w:val="right"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C0195">
    <w:pPr>
      <w:framePr w:wrap="around" w:vAnchor="text" w:hAnchor="margin" w:xAlign="center" w:y="1"/>
      <w:tabs>
        <w:tab w:val="center" w:pos="4153"/>
        <w:tab w:val="right" w:pos="8306"/>
      </w:tabs>
    </w:pPr>
    <w:r>
      <w:fldChar w:fldCharType="begin"/>
    </w:r>
    <w:r>
      <w:instrText xml:space="preserve">PAGE  </w:instrText>
    </w:r>
    <w:r>
      <w:fldChar w:fldCharType="separate"/>
    </w:r>
    <w:r>
      <w:t>33</w:t>
    </w:r>
    <w:r>
      <w:fldChar w:fldCharType="end"/>
    </w:r>
  </w:p>
  <w:p w14:paraId="077E7950">
    <w:pPr>
      <w:tabs>
        <w:tab w:val="center" w:pos="4153"/>
        <w:tab w:val="right"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0375F">
    <w:pPr>
      <w:framePr w:wrap="around" w:vAnchor="text" w:hAnchor="margin" w:xAlign="center" w:y="1"/>
      <w:tabs>
        <w:tab w:val="center" w:pos="4153"/>
        <w:tab w:val="right" w:pos="8306"/>
      </w:tabs>
    </w:pPr>
    <w:r>
      <w:fldChar w:fldCharType="begin"/>
    </w:r>
    <w:r>
      <w:instrText xml:space="preserve">PAGE  </w:instrText>
    </w:r>
    <w:r>
      <w:fldChar w:fldCharType="separate"/>
    </w:r>
    <w:r>
      <w:t>53</w:t>
    </w:r>
    <w:r>
      <w:fldChar w:fldCharType="end"/>
    </w:r>
  </w:p>
  <w:p w14:paraId="15D47EAD">
    <w:pPr>
      <w:tabs>
        <w:tab w:val="center" w:pos="4153"/>
        <w:tab w:val="right"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3C6D6">
    <w:pPr>
      <w:framePr w:wrap="around" w:vAnchor="text" w:hAnchor="margin" w:xAlign="center" w:y="1"/>
      <w:tabs>
        <w:tab w:val="center" w:pos="4153"/>
        <w:tab w:val="right" w:pos="8306"/>
      </w:tabs>
    </w:pPr>
    <w:r>
      <w:fldChar w:fldCharType="begin"/>
    </w:r>
    <w:r>
      <w:instrText xml:space="preserve">PAGE  </w:instrText>
    </w:r>
    <w:r>
      <w:fldChar w:fldCharType="end"/>
    </w:r>
  </w:p>
  <w:p w14:paraId="6D2F98E5">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E48C4">
    <w:pPr>
      <w:framePr w:wrap="around" w:vAnchor="text" w:hAnchor="margin" w:xAlign="center" w:y="1"/>
      <w:tabs>
        <w:tab w:val="center" w:pos="4153"/>
        <w:tab w:val="right" w:pos="8306"/>
      </w:tabs>
    </w:pPr>
    <w:r>
      <w:fldChar w:fldCharType="begin"/>
    </w:r>
    <w:r>
      <w:instrText xml:space="preserve">PAGE  </w:instrText>
    </w:r>
    <w:r>
      <w:fldChar w:fldCharType="separate"/>
    </w:r>
    <w:r>
      <w:t>21</w:t>
    </w:r>
    <w:r>
      <w:fldChar w:fldCharType="end"/>
    </w:r>
  </w:p>
  <w:p w14:paraId="6894D5D0">
    <w:pPr>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5F215">
    <w:pPr>
      <w:framePr w:wrap="around" w:vAnchor="text" w:hAnchor="margin" w:xAlign="center" w:y="1"/>
      <w:tabs>
        <w:tab w:val="center" w:pos="4153"/>
        <w:tab w:val="right" w:pos="8306"/>
      </w:tabs>
    </w:pPr>
    <w:r>
      <w:fldChar w:fldCharType="begin"/>
    </w:r>
    <w:r>
      <w:instrText xml:space="preserve">PAGE  </w:instrText>
    </w:r>
    <w:r>
      <w:fldChar w:fldCharType="separate"/>
    </w:r>
    <w:r>
      <w:t>23</w:t>
    </w:r>
    <w:r>
      <w:fldChar w:fldCharType="end"/>
    </w:r>
  </w:p>
  <w:p w14:paraId="1A8DD85B">
    <w:pPr>
      <w:tabs>
        <w:tab w:val="center" w:pos="4153"/>
        <w:tab w:val="right"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C2C20">
    <w:pPr>
      <w:framePr w:wrap="around" w:vAnchor="text" w:hAnchor="margin" w:xAlign="center" w:y="1"/>
      <w:tabs>
        <w:tab w:val="center" w:pos="4153"/>
        <w:tab w:val="right" w:pos="8306"/>
      </w:tabs>
    </w:pPr>
    <w:r>
      <w:fldChar w:fldCharType="begin"/>
    </w:r>
    <w:r>
      <w:instrText xml:space="preserve">PAGE  </w:instrText>
    </w:r>
    <w:r>
      <w:fldChar w:fldCharType="end"/>
    </w:r>
  </w:p>
  <w:p w14:paraId="78D17D6B">
    <w:pPr>
      <w:tabs>
        <w:tab w:val="center" w:pos="4153"/>
        <w:tab w:val="right"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5B65B">
    <w:pPr>
      <w:framePr w:wrap="around" w:vAnchor="text" w:hAnchor="margin" w:xAlign="center" w:y="1"/>
      <w:tabs>
        <w:tab w:val="center" w:pos="4153"/>
        <w:tab w:val="right" w:pos="8306"/>
      </w:tabs>
    </w:pPr>
    <w:r>
      <w:fldChar w:fldCharType="begin"/>
    </w:r>
    <w:r>
      <w:instrText xml:space="preserve">PAGE  </w:instrText>
    </w:r>
    <w:r>
      <w:fldChar w:fldCharType="separate"/>
    </w:r>
    <w:r>
      <w:t>27</w:t>
    </w:r>
    <w:r>
      <w:fldChar w:fldCharType="end"/>
    </w:r>
  </w:p>
  <w:p w14:paraId="7147E329">
    <w:pPr>
      <w:tabs>
        <w:tab w:val="center" w:pos="4153"/>
        <w:tab w:val="right" w:pos="8306"/>
      </w:tabs>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07250">
    <w:pPr>
      <w:framePr w:wrap="around" w:vAnchor="text" w:hAnchor="margin" w:xAlign="center" w:y="1"/>
      <w:tabs>
        <w:tab w:val="center" w:pos="4153"/>
        <w:tab w:val="right" w:pos="8306"/>
      </w:tabs>
    </w:pPr>
    <w:r>
      <w:fldChar w:fldCharType="begin"/>
    </w:r>
    <w:r>
      <w:instrText xml:space="preserve">PAGE  </w:instrText>
    </w:r>
    <w:r>
      <w:fldChar w:fldCharType="end"/>
    </w:r>
  </w:p>
  <w:p w14:paraId="2CB6A7E7">
    <w:pPr>
      <w:tabs>
        <w:tab w:val="center" w:pos="4153"/>
        <w:tab w:val="right"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62E3">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536D6">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73536D6">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E50C9">
    <w:pPr>
      <w:framePr w:wrap="around" w:vAnchor="text" w:hAnchor="margin" w:xAlign="center" w:y="1"/>
      <w:tabs>
        <w:tab w:val="center" w:pos="4153"/>
        <w:tab w:val="right" w:pos="8306"/>
      </w:tabs>
    </w:pPr>
    <w:r>
      <w:fldChar w:fldCharType="begin"/>
    </w:r>
    <w:r>
      <w:instrText xml:space="preserve">PAGE  </w:instrText>
    </w:r>
    <w:r>
      <w:fldChar w:fldCharType="separate"/>
    </w:r>
    <w:r>
      <w:t>31</w:t>
    </w:r>
    <w:r>
      <w:fldChar w:fldCharType="end"/>
    </w:r>
  </w:p>
  <w:p w14:paraId="75E446AE">
    <w:pPr>
      <w:tabs>
        <w:tab w:val="center" w:pos="4153"/>
        <w:tab w:val="right" w:pos="8306"/>
      </w:tabs>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7132">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123D6"/>
    <w:multiLevelType w:val="singleLevel"/>
    <w:tmpl w:val="848123D6"/>
    <w:lvl w:ilvl="0" w:tentative="0">
      <w:start w:val="1"/>
      <w:numFmt w:val="chineseCounting"/>
      <w:suff w:val="nothing"/>
      <w:lvlText w:val="（%1）"/>
      <w:lvlJc w:val="left"/>
      <w:rPr>
        <w:rFonts w:hint="eastAsia"/>
      </w:rPr>
    </w:lvl>
  </w:abstractNum>
  <w:abstractNum w:abstractNumId="1">
    <w:nsid w:val="3678B4C0"/>
    <w:multiLevelType w:val="singleLevel"/>
    <w:tmpl w:val="3678B4C0"/>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iMjE5MmQ2ZGM3NDFlMGNmMWYzYjJlNjE1MDg4NjMifQ=="/>
  </w:docVars>
  <w:rsids>
    <w:rsidRoot w:val="009C34C4"/>
    <w:rsid w:val="00000DFF"/>
    <w:rsid w:val="00001511"/>
    <w:rsid w:val="000025B4"/>
    <w:rsid w:val="00002C17"/>
    <w:rsid w:val="00003426"/>
    <w:rsid w:val="00003650"/>
    <w:rsid w:val="00003CBC"/>
    <w:rsid w:val="000052FF"/>
    <w:rsid w:val="000101E0"/>
    <w:rsid w:val="00011D83"/>
    <w:rsid w:val="0001223E"/>
    <w:rsid w:val="0001257D"/>
    <w:rsid w:val="00012F2B"/>
    <w:rsid w:val="0001438D"/>
    <w:rsid w:val="000152CB"/>
    <w:rsid w:val="0001616F"/>
    <w:rsid w:val="00020712"/>
    <w:rsid w:val="00023206"/>
    <w:rsid w:val="00024401"/>
    <w:rsid w:val="000259E8"/>
    <w:rsid w:val="00026444"/>
    <w:rsid w:val="00026FD9"/>
    <w:rsid w:val="000312BB"/>
    <w:rsid w:val="00032511"/>
    <w:rsid w:val="00034B0D"/>
    <w:rsid w:val="00034E02"/>
    <w:rsid w:val="00037036"/>
    <w:rsid w:val="000404E0"/>
    <w:rsid w:val="000413FD"/>
    <w:rsid w:val="00042494"/>
    <w:rsid w:val="0004266F"/>
    <w:rsid w:val="00042A56"/>
    <w:rsid w:val="00044958"/>
    <w:rsid w:val="000461A4"/>
    <w:rsid w:val="000533FC"/>
    <w:rsid w:val="00054B4B"/>
    <w:rsid w:val="00056066"/>
    <w:rsid w:val="00057499"/>
    <w:rsid w:val="0006169B"/>
    <w:rsid w:val="00066BF0"/>
    <w:rsid w:val="00066E55"/>
    <w:rsid w:val="00070945"/>
    <w:rsid w:val="000710A7"/>
    <w:rsid w:val="00071954"/>
    <w:rsid w:val="00071C14"/>
    <w:rsid w:val="00074CDE"/>
    <w:rsid w:val="000753B8"/>
    <w:rsid w:val="00080DCC"/>
    <w:rsid w:val="00083842"/>
    <w:rsid w:val="000838A3"/>
    <w:rsid w:val="000857CC"/>
    <w:rsid w:val="00086941"/>
    <w:rsid w:val="00090382"/>
    <w:rsid w:val="000904DB"/>
    <w:rsid w:val="000906C2"/>
    <w:rsid w:val="0009168F"/>
    <w:rsid w:val="0009493C"/>
    <w:rsid w:val="00094D27"/>
    <w:rsid w:val="000962E6"/>
    <w:rsid w:val="0009665D"/>
    <w:rsid w:val="0009700A"/>
    <w:rsid w:val="000975C3"/>
    <w:rsid w:val="000A0A62"/>
    <w:rsid w:val="000A44F6"/>
    <w:rsid w:val="000A5145"/>
    <w:rsid w:val="000A53F7"/>
    <w:rsid w:val="000A5AD7"/>
    <w:rsid w:val="000A5EC3"/>
    <w:rsid w:val="000A71CA"/>
    <w:rsid w:val="000A7F12"/>
    <w:rsid w:val="000B19FC"/>
    <w:rsid w:val="000B33C0"/>
    <w:rsid w:val="000B61FA"/>
    <w:rsid w:val="000B7F7C"/>
    <w:rsid w:val="000C0C6C"/>
    <w:rsid w:val="000C0E7C"/>
    <w:rsid w:val="000C17D6"/>
    <w:rsid w:val="000C1D79"/>
    <w:rsid w:val="000C2349"/>
    <w:rsid w:val="000C317B"/>
    <w:rsid w:val="000C4553"/>
    <w:rsid w:val="000C4F8B"/>
    <w:rsid w:val="000C7EB8"/>
    <w:rsid w:val="000D03E5"/>
    <w:rsid w:val="000D0657"/>
    <w:rsid w:val="000D1A6C"/>
    <w:rsid w:val="000D218E"/>
    <w:rsid w:val="000D2F06"/>
    <w:rsid w:val="000D308D"/>
    <w:rsid w:val="000D3691"/>
    <w:rsid w:val="000D3A97"/>
    <w:rsid w:val="000D73EA"/>
    <w:rsid w:val="000D79C5"/>
    <w:rsid w:val="000E07B1"/>
    <w:rsid w:val="000E310B"/>
    <w:rsid w:val="000E35D7"/>
    <w:rsid w:val="000E3A52"/>
    <w:rsid w:val="000E4823"/>
    <w:rsid w:val="000E6431"/>
    <w:rsid w:val="000E64FC"/>
    <w:rsid w:val="000E676F"/>
    <w:rsid w:val="000F181D"/>
    <w:rsid w:val="000F19EB"/>
    <w:rsid w:val="000F1E91"/>
    <w:rsid w:val="000F43E9"/>
    <w:rsid w:val="000F6699"/>
    <w:rsid w:val="000F7357"/>
    <w:rsid w:val="000F7D68"/>
    <w:rsid w:val="00100AB7"/>
    <w:rsid w:val="00101683"/>
    <w:rsid w:val="00101894"/>
    <w:rsid w:val="00103F38"/>
    <w:rsid w:val="00104997"/>
    <w:rsid w:val="00105372"/>
    <w:rsid w:val="0010545D"/>
    <w:rsid w:val="00105756"/>
    <w:rsid w:val="0010646F"/>
    <w:rsid w:val="00110C75"/>
    <w:rsid w:val="001115A1"/>
    <w:rsid w:val="00112529"/>
    <w:rsid w:val="00113305"/>
    <w:rsid w:val="00113E54"/>
    <w:rsid w:val="00114BC7"/>
    <w:rsid w:val="001150FB"/>
    <w:rsid w:val="001160B4"/>
    <w:rsid w:val="00116190"/>
    <w:rsid w:val="001173DD"/>
    <w:rsid w:val="00117AEF"/>
    <w:rsid w:val="001200ED"/>
    <w:rsid w:val="00122288"/>
    <w:rsid w:val="00123745"/>
    <w:rsid w:val="001241C4"/>
    <w:rsid w:val="00124803"/>
    <w:rsid w:val="00124B0C"/>
    <w:rsid w:val="0012549A"/>
    <w:rsid w:val="001258D6"/>
    <w:rsid w:val="001264AF"/>
    <w:rsid w:val="001272D7"/>
    <w:rsid w:val="001302A7"/>
    <w:rsid w:val="00130EE8"/>
    <w:rsid w:val="001328DC"/>
    <w:rsid w:val="001334AF"/>
    <w:rsid w:val="0013484C"/>
    <w:rsid w:val="001357C3"/>
    <w:rsid w:val="0013594D"/>
    <w:rsid w:val="00136331"/>
    <w:rsid w:val="00136CD0"/>
    <w:rsid w:val="0014060C"/>
    <w:rsid w:val="001414DC"/>
    <w:rsid w:val="00141AD4"/>
    <w:rsid w:val="00142242"/>
    <w:rsid w:val="0014267C"/>
    <w:rsid w:val="001442E9"/>
    <w:rsid w:val="0014580C"/>
    <w:rsid w:val="0015121D"/>
    <w:rsid w:val="001519A3"/>
    <w:rsid w:val="00152358"/>
    <w:rsid w:val="00153985"/>
    <w:rsid w:val="00157717"/>
    <w:rsid w:val="00161BFE"/>
    <w:rsid w:val="00162574"/>
    <w:rsid w:val="00162CAD"/>
    <w:rsid w:val="00162DA0"/>
    <w:rsid w:val="00163509"/>
    <w:rsid w:val="00165C6E"/>
    <w:rsid w:val="00167741"/>
    <w:rsid w:val="001678AD"/>
    <w:rsid w:val="00167C3F"/>
    <w:rsid w:val="001719BB"/>
    <w:rsid w:val="00171A0E"/>
    <w:rsid w:val="001743DB"/>
    <w:rsid w:val="00175112"/>
    <w:rsid w:val="0017529C"/>
    <w:rsid w:val="0017786C"/>
    <w:rsid w:val="00181283"/>
    <w:rsid w:val="00181367"/>
    <w:rsid w:val="00182E8F"/>
    <w:rsid w:val="00183022"/>
    <w:rsid w:val="001850F5"/>
    <w:rsid w:val="001855A1"/>
    <w:rsid w:val="00186E9E"/>
    <w:rsid w:val="00190E2C"/>
    <w:rsid w:val="00191770"/>
    <w:rsid w:val="00192802"/>
    <w:rsid w:val="00192ABC"/>
    <w:rsid w:val="001936DF"/>
    <w:rsid w:val="00193F39"/>
    <w:rsid w:val="00193FCE"/>
    <w:rsid w:val="0019458C"/>
    <w:rsid w:val="00195993"/>
    <w:rsid w:val="001A1586"/>
    <w:rsid w:val="001A2182"/>
    <w:rsid w:val="001A3F92"/>
    <w:rsid w:val="001A5E5D"/>
    <w:rsid w:val="001A63A8"/>
    <w:rsid w:val="001B0593"/>
    <w:rsid w:val="001B0AC2"/>
    <w:rsid w:val="001B6EA5"/>
    <w:rsid w:val="001B7523"/>
    <w:rsid w:val="001B765B"/>
    <w:rsid w:val="001C0434"/>
    <w:rsid w:val="001C0832"/>
    <w:rsid w:val="001C31FE"/>
    <w:rsid w:val="001C356F"/>
    <w:rsid w:val="001C35CD"/>
    <w:rsid w:val="001C52A4"/>
    <w:rsid w:val="001C6AC1"/>
    <w:rsid w:val="001D21AC"/>
    <w:rsid w:val="001D41D7"/>
    <w:rsid w:val="001D4C6E"/>
    <w:rsid w:val="001D5CCE"/>
    <w:rsid w:val="001D62C3"/>
    <w:rsid w:val="001D63B6"/>
    <w:rsid w:val="001D6F41"/>
    <w:rsid w:val="001D7545"/>
    <w:rsid w:val="001D78C2"/>
    <w:rsid w:val="001D797F"/>
    <w:rsid w:val="001E0AFF"/>
    <w:rsid w:val="001E0BD2"/>
    <w:rsid w:val="001E17AE"/>
    <w:rsid w:val="001E1A2C"/>
    <w:rsid w:val="001E2701"/>
    <w:rsid w:val="001E2BC6"/>
    <w:rsid w:val="001E3B5E"/>
    <w:rsid w:val="001E3FBA"/>
    <w:rsid w:val="001E4FF1"/>
    <w:rsid w:val="001E60A1"/>
    <w:rsid w:val="001E6801"/>
    <w:rsid w:val="001E6C8D"/>
    <w:rsid w:val="001F20C6"/>
    <w:rsid w:val="001F2FE0"/>
    <w:rsid w:val="001F30A0"/>
    <w:rsid w:val="001F39EB"/>
    <w:rsid w:val="001F4B64"/>
    <w:rsid w:val="002010F7"/>
    <w:rsid w:val="00201E70"/>
    <w:rsid w:val="0020332B"/>
    <w:rsid w:val="00203D0E"/>
    <w:rsid w:val="002045AC"/>
    <w:rsid w:val="0020510E"/>
    <w:rsid w:val="002054BA"/>
    <w:rsid w:val="00206E8C"/>
    <w:rsid w:val="002119B1"/>
    <w:rsid w:val="00212EB1"/>
    <w:rsid w:val="0021312D"/>
    <w:rsid w:val="00213823"/>
    <w:rsid w:val="002138DB"/>
    <w:rsid w:val="002139B3"/>
    <w:rsid w:val="00213F64"/>
    <w:rsid w:val="00214422"/>
    <w:rsid w:val="00215779"/>
    <w:rsid w:val="002160BE"/>
    <w:rsid w:val="002170BE"/>
    <w:rsid w:val="0022125A"/>
    <w:rsid w:val="00226C45"/>
    <w:rsid w:val="00226CC7"/>
    <w:rsid w:val="00227396"/>
    <w:rsid w:val="00231820"/>
    <w:rsid w:val="00231C30"/>
    <w:rsid w:val="00231DAD"/>
    <w:rsid w:val="00232309"/>
    <w:rsid w:val="00240111"/>
    <w:rsid w:val="0024114C"/>
    <w:rsid w:val="002419D6"/>
    <w:rsid w:val="00242749"/>
    <w:rsid w:val="002456FA"/>
    <w:rsid w:val="00245F57"/>
    <w:rsid w:val="00246FF0"/>
    <w:rsid w:val="00247538"/>
    <w:rsid w:val="00247AC3"/>
    <w:rsid w:val="00247CFD"/>
    <w:rsid w:val="00247CFE"/>
    <w:rsid w:val="00250622"/>
    <w:rsid w:val="00250F70"/>
    <w:rsid w:val="002517AF"/>
    <w:rsid w:val="002525CC"/>
    <w:rsid w:val="002535A1"/>
    <w:rsid w:val="002539B0"/>
    <w:rsid w:val="00253E1C"/>
    <w:rsid w:val="0025459C"/>
    <w:rsid w:val="00256B41"/>
    <w:rsid w:val="00257760"/>
    <w:rsid w:val="002577DA"/>
    <w:rsid w:val="00261E7C"/>
    <w:rsid w:val="00262049"/>
    <w:rsid w:val="002631E6"/>
    <w:rsid w:val="00263B9E"/>
    <w:rsid w:val="00263CD4"/>
    <w:rsid w:val="00264161"/>
    <w:rsid w:val="002649BA"/>
    <w:rsid w:val="00264D84"/>
    <w:rsid w:val="00265143"/>
    <w:rsid w:val="00266030"/>
    <w:rsid w:val="00266461"/>
    <w:rsid w:val="00266DA8"/>
    <w:rsid w:val="0027014E"/>
    <w:rsid w:val="002711A7"/>
    <w:rsid w:val="002717E9"/>
    <w:rsid w:val="00271C97"/>
    <w:rsid w:val="00271D84"/>
    <w:rsid w:val="0027372E"/>
    <w:rsid w:val="0027378A"/>
    <w:rsid w:val="00275463"/>
    <w:rsid w:val="0027656F"/>
    <w:rsid w:val="00282443"/>
    <w:rsid w:val="002861E6"/>
    <w:rsid w:val="00291BC7"/>
    <w:rsid w:val="00291D5B"/>
    <w:rsid w:val="00292919"/>
    <w:rsid w:val="0029378D"/>
    <w:rsid w:val="002949FA"/>
    <w:rsid w:val="00295AB6"/>
    <w:rsid w:val="00297684"/>
    <w:rsid w:val="002A1163"/>
    <w:rsid w:val="002A323E"/>
    <w:rsid w:val="002A36E3"/>
    <w:rsid w:val="002A3DCC"/>
    <w:rsid w:val="002A46D4"/>
    <w:rsid w:val="002A7E69"/>
    <w:rsid w:val="002B00A6"/>
    <w:rsid w:val="002B1A03"/>
    <w:rsid w:val="002B2ACF"/>
    <w:rsid w:val="002B2D97"/>
    <w:rsid w:val="002B3786"/>
    <w:rsid w:val="002B4A8C"/>
    <w:rsid w:val="002B6812"/>
    <w:rsid w:val="002B77E1"/>
    <w:rsid w:val="002C04B2"/>
    <w:rsid w:val="002C19A0"/>
    <w:rsid w:val="002C1D51"/>
    <w:rsid w:val="002C1E73"/>
    <w:rsid w:val="002C1E90"/>
    <w:rsid w:val="002C2055"/>
    <w:rsid w:val="002C23BB"/>
    <w:rsid w:val="002C2944"/>
    <w:rsid w:val="002C29CF"/>
    <w:rsid w:val="002C443B"/>
    <w:rsid w:val="002C48C7"/>
    <w:rsid w:val="002C4D7C"/>
    <w:rsid w:val="002C4F6D"/>
    <w:rsid w:val="002C569F"/>
    <w:rsid w:val="002D05A8"/>
    <w:rsid w:val="002D09D1"/>
    <w:rsid w:val="002D0DDA"/>
    <w:rsid w:val="002D1F10"/>
    <w:rsid w:val="002D1FBA"/>
    <w:rsid w:val="002D25D3"/>
    <w:rsid w:val="002D2FA7"/>
    <w:rsid w:val="002D355C"/>
    <w:rsid w:val="002D49EB"/>
    <w:rsid w:val="002D4B28"/>
    <w:rsid w:val="002D4CBC"/>
    <w:rsid w:val="002D5FE6"/>
    <w:rsid w:val="002D71C4"/>
    <w:rsid w:val="002D7BC3"/>
    <w:rsid w:val="002E0E01"/>
    <w:rsid w:val="002E13E1"/>
    <w:rsid w:val="002E536E"/>
    <w:rsid w:val="002E58E9"/>
    <w:rsid w:val="002E6178"/>
    <w:rsid w:val="002E7573"/>
    <w:rsid w:val="002E7621"/>
    <w:rsid w:val="002F0C2B"/>
    <w:rsid w:val="002F0C95"/>
    <w:rsid w:val="002F158E"/>
    <w:rsid w:val="002F22FB"/>
    <w:rsid w:val="002F2991"/>
    <w:rsid w:val="002F2A14"/>
    <w:rsid w:val="002F3141"/>
    <w:rsid w:val="002F3519"/>
    <w:rsid w:val="002F4C2F"/>
    <w:rsid w:val="002F5955"/>
    <w:rsid w:val="002F77DD"/>
    <w:rsid w:val="002F787D"/>
    <w:rsid w:val="002F7E75"/>
    <w:rsid w:val="003001E7"/>
    <w:rsid w:val="00301CBC"/>
    <w:rsid w:val="00302287"/>
    <w:rsid w:val="003032EA"/>
    <w:rsid w:val="0030355E"/>
    <w:rsid w:val="00304481"/>
    <w:rsid w:val="003044D5"/>
    <w:rsid w:val="003050B1"/>
    <w:rsid w:val="003061E2"/>
    <w:rsid w:val="0030651C"/>
    <w:rsid w:val="00311B6F"/>
    <w:rsid w:val="003137DC"/>
    <w:rsid w:val="003140A5"/>
    <w:rsid w:val="0031441A"/>
    <w:rsid w:val="00314F85"/>
    <w:rsid w:val="003157CE"/>
    <w:rsid w:val="00315B2E"/>
    <w:rsid w:val="00315CE6"/>
    <w:rsid w:val="0031716D"/>
    <w:rsid w:val="00322F50"/>
    <w:rsid w:val="003232B6"/>
    <w:rsid w:val="0032411F"/>
    <w:rsid w:val="0032447B"/>
    <w:rsid w:val="00324F3F"/>
    <w:rsid w:val="00327831"/>
    <w:rsid w:val="00330F5C"/>
    <w:rsid w:val="00331593"/>
    <w:rsid w:val="00332D72"/>
    <w:rsid w:val="00333618"/>
    <w:rsid w:val="003347B9"/>
    <w:rsid w:val="00336940"/>
    <w:rsid w:val="0033773E"/>
    <w:rsid w:val="00340608"/>
    <w:rsid w:val="00341B4E"/>
    <w:rsid w:val="0034221F"/>
    <w:rsid w:val="003447B2"/>
    <w:rsid w:val="00347D1A"/>
    <w:rsid w:val="003503BA"/>
    <w:rsid w:val="003514DE"/>
    <w:rsid w:val="00351D4E"/>
    <w:rsid w:val="0035400B"/>
    <w:rsid w:val="0035408E"/>
    <w:rsid w:val="00354ED0"/>
    <w:rsid w:val="0035559D"/>
    <w:rsid w:val="00356279"/>
    <w:rsid w:val="00356ECA"/>
    <w:rsid w:val="00357EEB"/>
    <w:rsid w:val="003616F2"/>
    <w:rsid w:val="00361B71"/>
    <w:rsid w:val="00362C76"/>
    <w:rsid w:val="00363239"/>
    <w:rsid w:val="00363760"/>
    <w:rsid w:val="00363C1B"/>
    <w:rsid w:val="0036534B"/>
    <w:rsid w:val="003670BE"/>
    <w:rsid w:val="003705E5"/>
    <w:rsid w:val="0037224E"/>
    <w:rsid w:val="00372503"/>
    <w:rsid w:val="003728EF"/>
    <w:rsid w:val="00373352"/>
    <w:rsid w:val="00374D71"/>
    <w:rsid w:val="0038093D"/>
    <w:rsid w:val="00380D77"/>
    <w:rsid w:val="00384DDF"/>
    <w:rsid w:val="00385DF6"/>
    <w:rsid w:val="00386BAB"/>
    <w:rsid w:val="00386CF4"/>
    <w:rsid w:val="00390325"/>
    <w:rsid w:val="0039040A"/>
    <w:rsid w:val="003921E4"/>
    <w:rsid w:val="00393432"/>
    <w:rsid w:val="00393D73"/>
    <w:rsid w:val="00393E94"/>
    <w:rsid w:val="003952A7"/>
    <w:rsid w:val="00397C4F"/>
    <w:rsid w:val="003A04F4"/>
    <w:rsid w:val="003A5588"/>
    <w:rsid w:val="003A5C77"/>
    <w:rsid w:val="003A6246"/>
    <w:rsid w:val="003A63B3"/>
    <w:rsid w:val="003A7059"/>
    <w:rsid w:val="003A70C4"/>
    <w:rsid w:val="003A7A54"/>
    <w:rsid w:val="003B01B7"/>
    <w:rsid w:val="003B0235"/>
    <w:rsid w:val="003B3EEC"/>
    <w:rsid w:val="003B4294"/>
    <w:rsid w:val="003B6220"/>
    <w:rsid w:val="003B718F"/>
    <w:rsid w:val="003B7921"/>
    <w:rsid w:val="003B7943"/>
    <w:rsid w:val="003B7FA9"/>
    <w:rsid w:val="003C0421"/>
    <w:rsid w:val="003C33EA"/>
    <w:rsid w:val="003C345C"/>
    <w:rsid w:val="003C4ACE"/>
    <w:rsid w:val="003C5271"/>
    <w:rsid w:val="003C58D9"/>
    <w:rsid w:val="003D022C"/>
    <w:rsid w:val="003D04D0"/>
    <w:rsid w:val="003D1903"/>
    <w:rsid w:val="003D19EA"/>
    <w:rsid w:val="003D28E5"/>
    <w:rsid w:val="003D3AA9"/>
    <w:rsid w:val="003D3E81"/>
    <w:rsid w:val="003D5351"/>
    <w:rsid w:val="003D5FEA"/>
    <w:rsid w:val="003D6FE6"/>
    <w:rsid w:val="003E00B6"/>
    <w:rsid w:val="003E0A28"/>
    <w:rsid w:val="003E133B"/>
    <w:rsid w:val="003E13A4"/>
    <w:rsid w:val="003E168F"/>
    <w:rsid w:val="003E228F"/>
    <w:rsid w:val="003E294B"/>
    <w:rsid w:val="003E33CC"/>
    <w:rsid w:val="003E471E"/>
    <w:rsid w:val="003E535C"/>
    <w:rsid w:val="003E712E"/>
    <w:rsid w:val="003E7C2F"/>
    <w:rsid w:val="003E7CDD"/>
    <w:rsid w:val="003F10A3"/>
    <w:rsid w:val="003F10AD"/>
    <w:rsid w:val="003F1926"/>
    <w:rsid w:val="003F6B4B"/>
    <w:rsid w:val="003F7661"/>
    <w:rsid w:val="003F78FC"/>
    <w:rsid w:val="0040077C"/>
    <w:rsid w:val="004032EE"/>
    <w:rsid w:val="00403405"/>
    <w:rsid w:val="00403926"/>
    <w:rsid w:val="00405660"/>
    <w:rsid w:val="004056BF"/>
    <w:rsid w:val="00405C2A"/>
    <w:rsid w:val="00406168"/>
    <w:rsid w:val="00406169"/>
    <w:rsid w:val="0040724E"/>
    <w:rsid w:val="004079EB"/>
    <w:rsid w:val="00410532"/>
    <w:rsid w:val="0041097A"/>
    <w:rsid w:val="0041187D"/>
    <w:rsid w:val="00412CA4"/>
    <w:rsid w:val="00413339"/>
    <w:rsid w:val="004140A8"/>
    <w:rsid w:val="004143F1"/>
    <w:rsid w:val="004148D2"/>
    <w:rsid w:val="0041546B"/>
    <w:rsid w:val="00415479"/>
    <w:rsid w:val="004162CC"/>
    <w:rsid w:val="004165E9"/>
    <w:rsid w:val="00416B04"/>
    <w:rsid w:val="00417C87"/>
    <w:rsid w:val="00422C81"/>
    <w:rsid w:val="004230AE"/>
    <w:rsid w:val="00424050"/>
    <w:rsid w:val="00424BD0"/>
    <w:rsid w:val="004253CA"/>
    <w:rsid w:val="004261C7"/>
    <w:rsid w:val="00430088"/>
    <w:rsid w:val="004314F0"/>
    <w:rsid w:val="00431A78"/>
    <w:rsid w:val="00432936"/>
    <w:rsid w:val="00434293"/>
    <w:rsid w:val="00434CBB"/>
    <w:rsid w:val="00435DD8"/>
    <w:rsid w:val="0043701A"/>
    <w:rsid w:val="00437182"/>
    <w:rsid w:val="00437531"/>
    <w:rsid w:val="00437A6C"/>
    <w:rsid w:val="004401D8"/>
    <w:rsid w:val="00440449"/>
    <w:rsid w:val="0044065F"/>
    <w:rsid w:val="00440B41"/>
    <w:rsid w:val="00441FE2"/>
    <w:rsid w:val="00446500"/>
    <w:rsid w:val="00446D81"/>
    <w:rsid w:val="004473D4"/>
    <w:rsid w:val="0045010D"/>
    <w:rsid w:val="004503CD"/>
    <w:rsid w:val="00453AA7"/>
    <w:rsid w:val="00457330"/>
    <w:rsid w:val="004576D5"/>
    <w:rsid w:val="0046097F"/>
    <w:rsid w:val="00462084"/>
    <w:rsid w:val="00464713"/>
    <w:rsid w:val="00465AC6"/>
    <w:rsid w:val="00466D04"/>
    <w:rsid w:val="004678E4"/>
    <w:rsid w:val="004703E5"/>
    <w:rsid w:val="00470D03"/>
    <w:rsid w:val="00470D6B"/>
    <w:rsid w:val="00471226"/>
    <w:rsid w:val="00471F0A"/>
    <w:rsid w:val="00472317"/>
    <w:rsid w:val="00472A7B"/>
    <w:rsid w:val="004735B6"/>
    <w:rsid w:val="00474107"/>
    <w:rsid w:val="00474A6E"/>
    <w:rsid w:val="00475EDC"/>
    <w:rsid w:val="00476620"/>
    <w:rsid w:val="00477712"/>
    <w:rsid w:val="00477CF9"/>
    <w:rsid w:val="004805FB"/>
    <w:rsid w:val="0048082D"/>
    <w:rsid w:val="00480FA9"/>
    <w:rsid w:val="0048123C"/>
    <w:rsid w:val="00481FB3"/>
    <w:rsid w:val="004834C1"/>
    <w:rsid w:val="00486353"/>
    <w:rsid w:val="00491481"/>
    <w:rsid w:val="00491CB0"/>
    <w:rsid w:val="004920D1"/>
    <w:rsid w:val="0049267D"/>
    <w:rsid w:val="00492A3E"/>
    <w:rsid w:val="00493B2C"/>
    <w:rsid w:val="00493BB0"/>
    <w:rsid w:val="004949AA"/>
    <w:rsid w:val="00494BC0"/>
    <w:rsid w:val="00494BC2"/>
    <w:rsid w:val="004967D2"/>
    <w:rsid w:val="004A0815"/>
    <w:rsid w:val="004A09E0"/>
    <w:rsid w:val="004A29A6"/>
    <w:rsid w:val="004A45EC"/>
    <w:rsid w:val="004A4E64"/>
    <w:rsid w:val="004A5786"/>
    <w:rsid w:val="004A63A5"/>
    <w:rsid w:val="004A749F"/>
    <w:rsid w:val="004A75F5"/>
    <w:rsid w:val="004A7785"/>
    <w:rsid w:val="004B09B8"/>
    <w:rsid w:val="004B11E0"/>
    <w:rsid w:val="004B1467"/>
    <w:rsid w:val="004B41B1"/>
    <w:rsid w:val="004B577B"/>
    <w:rsid w:val="004B6C9F"/>
    <w:rsid w:val="004B7FA3"/>
    <w:rsid w:val="004C147C"/>
    <w:rsid w:val="004C2786"/>
    <w:rsid w:val="004C32EE"/>
    <w:rsid w:val="004C3F70"/>
    <w:rsid w:val="004C40F2"/>
    <w:rsid w:val="004C5ED9"/>
    <w:rsid w:val="004C762B"/>
    <w:rsid w:val="004D03C9"/>
    <w:rsid w:val="004D181B"/>
    <w:rsid w:val="004D367A"/>
    <w:rsid w:val="004D4530"/>
    <w:rsid w:val="004D4CF0"/>
    <w:rsid w:val="004D5AD8"/>
    <w:rsid w:val="004D7462"/>
    <w:rsid w:val="004D7863"/>
    <w:rsid w:val="004E09AD"/>
    <w:rsid w:val="004E0DCD"/>
    <w:rsid w:val="004E4B9F"/>
    <w:rsid w:val="004E6B28"/>
    <w:rsid w:val="004E7CC0"/>
    <w:rsid w:val="004F07A7"/>
    <w:rsid w:val="004F1D42"/>
    <w:rsid w:val="004F5861"/>
    <w:rsid w:val="004F5A4C"/>
    <w:rsid w:val="00500AFF"/>
    <w:rsid w:val="005010E9"/>
    <w:rsid w:val="00501D60"/>
    <w:rsid w:val="0050288E"/>
    <w:rsid w:val="00505127"/>
    <w:rsid w:val="00505309"/>
    <w:rsid w:val="00506923"/>
    <w:rsid w:val="00507143"/>
    <w:rsid w:val="00507196"/>
    <w:rsid w:val="00510AFA"/>
    <w:rsid w:val="00510E00"/>
    <w:rsid w:val="00510F88"/>
    <w:rsid w:val="005124BB"/>
    <w:rsid w:val="005125A5"/>
    <w:rsid w:val="00514FEF"/>
    <w:rsid w:val="005159AD"/>
    <w:rsid w:val="00515E2F"/>
    <w:rsid w:val="00516043"/>
    <w:rsid w:val="00516702"/>
    <w:rsid w:val="005172C3"/>
    <w:rsid w:val="005202F1"/>
    <w:rsid w:val="0052031C"/>
    <w:rsid w:val="00520387"/>
    <w:rsid w:val="00520581"/>
    <w:rsid w:val="00521A08"/>
    <w:rsid w:val="005233B0"/>
    <w:rsid w:val="005239FD"/>
    <w:rsid w:val="0052640D"/>
    <w:rsid w:val="00526A8E"/>
    <w:rsid w:val="00526DD5"/>
    <w:rsid w:val="00527DD8"/>
    <w:rsid w:val="005315DB"/>
    <w:rsid w:val="005315E5"/>
    <w:rsid w:val="00532A46"/>
    <w:rsid w:val="00532AE6"/>
    <w:rsid w:val="0053309D"/>
    <w:rsid w:val="0053354D"/>
    <w:rsid w:val="00534323"/>
    <w:rsid w:val="00537687"/>
    <w:rsid w:val="00537CA0"/>
    <w:rsid w:val="00541047"/>
    <w:rsid w:val="00541537"/>
    <w:rsid w:val="00542768"/>
    <w:rsid w:val="00542B54"/>
    <w:rsid w:val="005430F5"/>
    <w:rsid w:val="005431DD"/>
    <w:rsid w:val="005447DC"/>
    <w:rsid w:val="005457C5"/>
    <w:rsid w:val="005458F0"/>
    <w:rsid w:val="005460A2"/>
    <w:rsid w:val="0054659C"/>
    <w:rsid w:val="00546BE8"/>
    <w:rsid w:val="00553143"/>
    <w:rsid w:val="005549BB"/>
    <w:rsid w:val="00555D3E"/>
    <w:rsid w:val="005560CF"/>
    <w:rsid w:val="00561675"/>
    <w:rsid w:val="0056251F"/>
    <w:rsid w:val="00562DD4"/>
    <w:rsid w:val="0056424B"/>
    <w:rsid w:val="00564522"/>
    <w:rsid w:val="0056458F"/>
    <w:rsid w:val="00564A80"/>
    <w:rsid w:val="00564DA1"/>
    <w:rsid w:val="005654B5"/>
    <w:rsid w:val="0056630E"/>
    <w:rsid w:val="00566E41"/>
    <w:rsid w:val="005675D6"/>
    <w:rsid w:val="00573E85"/>
    <w:rsid w:val="005740AA"/>
    <w:rsid w:val="00575739"/>
    <w:rsid w:val="0057690B"/>
    <w:rsid w:val="005771E3"/>
    <w:rsid w:val="005812B2"/>
    <w:rsid w:val="00581737"/>
    <w:rsid w:val="00582991"/>
    <w:rsid w:val="00582EBA"/>
    <w:rsid w:val="00583444"/>
    <w:rsid w:val="005854CD"/>
    <w:rsid w:val="00586D45"/>
    <w:rsid w:val="005876E0"/>
    <w:rsid w:val="0059104F"/>
    <w:rsid w:val="005934CB"/>
    <w:rsid w:val="005945E2"/>
    <w:rsid w:val="005957D0"/>
    <w:rsid w:val="0059643F"/>
    <w:rsid w:val="005A07D2"/>
    <w:rsid w:val="005A0C8D"/>
    <w:rsid w:val="005A1C0B"/>
    <w:rsid w:val="005A2C14"/>
    <w:rsid w:val="005A468F"/>
    <w:rsid w:val="005A46EE"/>
    <w:rsid w:val="005A4F3A"/>
    <w:rsid w:val="005A5D20"/>
    <w:rsid w:val="005A642C"/>
    <w:rsid w:val="005A6D31"/>
    <w:rsid w:val="005A7EF0"/>
    <w:rsid w:val="005B1105"/>
    <w:rsid w:val="005B37E5"/>
    <w:rsid w:val="005B3FED"/>
    <w:rsid w:val="005B400A"/>
    <w:rsid w:val="005B464A"/>
    <w:rsid w:val="005B50D5"/>
    <w:rsid w:val="005B675D"/>
    <w:rsid w:val="005C4FDF"/>
    <w:rsid w:val="005C563A"/>
    <w:rsid w:val="005C73A9"/>
    <w:rsid w:val="005D420B"/>
    <w:rsid w:val="005D4E04"/>
    <w:rsid w:val="005D5972"/>
    <w:rsid w:val="005D748A"/>
    <w:rsid w:val="005D76A9"/>
    <w:rsid w:val="005E0767"/>
    <w:rsid w:val="005E157F"/>
    <w:rsid w:val="005E1757"/>
    <w:rsid w:val="005E2908"/>
    <w:rsid w:val="005E2B00"/>
    <w:rsid w:val="005E301D"/>
    <w:rsid w:val="005E38FA"/>
    <w:rsid w:val="005E4EEF"/>
    <w:rsid w:val="005E65EF"/>
    <w:rsid w:val="005E7709"/>
    <w:rsid w:val="005E7D95"/>
    <w:rsid w:val="005F366F"/>
    <w:rsid w:val="005F4C4C"/>
    <w:rsid w:val="005F6664"/>
    <w:rsid w:val="005F74B4"/>
    <w:rsid w:val="005F75B5"/>
    <w:rsid w:val="00601C4A"/>
    <w:rsid w:val="00604C16"/>
    <w:rsid w:val="006055BF"/>
    <w:rsid w:val="00605C2B"/>
    <w:rsid w:val="00605EBC"/>
    <w:rsid w:val="0060626D"/>
    <w:rsid w:val="00607167"/>
    <w:rsid w:val="006104E8"/>
    <w:rsid w:val="00612097"/>
    <w:rsid w:val="0061229E"/>
    <w:rsid w:val="00612573"/>
    <w:rsid w:val="0061618E"/>
    <w:rsid w:val="00617B88"/>
    <w:rsid w:val="006207D9"/>
    <w:rsid w:val="00622A07"/>
    <w:rsid w:val="00623D3F"/>
    <w:rsid w:val="00623FF4"/>
    <w:rsid w:val="006244B5"/>
    <w:rsid w:val="006248D6"/>
    <w:rsid w:val="00625D91"/>
    <w:rsid w:val="006266B1"/>
    <w:rsid w:val="00626BA5"/>
    <w:rsid w:val="00627EBD"/>
    <w:rsid w:val="0063408B"/>
    <w:rsid w:val="006341EC"/>
    <w:rsid w:val="006357D4"/>
    <w:rsid w:val="00635EB7"/>
    <w:rsid w:val="00636E1B"/>
    <w:rsid w:val="00637F53"/>
    <w:rsid w:val="00640919"/>
    <w:rsid w:val="006412DB"/>
    <w:rsid w:val="006462F5"/>
    <w:rsid w:val="00646304"/>
    <w:rsid w:val="00646383"/>
    <w:rsid w:val="0064695D"/>
    <w:rsid w:val="00650F62"/>
    <w:rsid w:val="006536D1"/>
    <w:rsid w:val="00660D9B"/>
    <w:rsid w:val="00660E55"/>
    <w:rsid w:val="006613D6"/>
    <w:rsid w:val="006639A2"/>
    <w:rsid w:val="00663EBF"/>
    <w:rsid w:val="0066604C"/>
    <w:rsid w:val="00666A25"/>
    <w:rsid w:val="00671567"/>
    <w:rsid w:val="006722DA"/>
    <w:rsid w:val="0067269D"/>
    <w:rsid w:val="00672B8B"/>
    <w:rsid w:val="006751C9"/>
    <w:rsid w:val="006775CA"/>
    <w:rsid w:val="006779CE"/>
    <w:rsid w:val="00683E7B"/>
    <w:rsid w:val="006848D8"/>
    <w:rsid w:val="0068653E"/>
    <w:rsid w:val="006866F4"/>
    <w:rsid w:val="00686BC2"/>
    <w:rsid w:val="00687A41"/>
    <w:rsid w:val="0069078B"/>
    <w:rsid w:val="00690F46"/>
    <w:rsid w:val="00691BA8"/>
    <w:rsid w:val="00693BED"/>
    <w:rsid w:val="00695551"/>
    <w:rsid w:val="00695E33"/>
    <w:rsid w:val="0069689A"/>
    <w:rsid w:val="00696A14"/>
    <w:rsid w:val="00697F35"/>
    <w:rsid w:val="006A0B32"/>
    <w:rsid w:val="006A1DE8"/>
    <w:rsid w:val="006A24CA"/>
    <w:rsid w:val="006A3102"/>
    <w:rsid w:val="006A3219"/>
    <w:rsid w:val="006A3358"/>
    <w:rsid w:val="006A351A"/>
    <w:rsid w:val="006A4719"/>
    <w:rsid w:val="006A4AD9"/>
    <w:rsid w:val="006A4DC0"/>
    <w:rsid w:val="006A5DD0"/>
    <w:rsid w:val="006A5FEC"/>
    <w:rsid w:val="006A647A"/>
    <w:rsid w:val="006A64B8"/>
    <w:rsid w:val="006A6FFC"/>
    <w:rsid w:val="006A7483"/>
    <w:rsid w:val="006A77B6"/>
    <w:rsid w:val="006B1438"/>
    <w:rsid w:val="006B5D9C"/>
    <w:rsid w:val="006B6D43"/>
    <w:rsid w:val="006B71C8"/>
    <w:rsid w:val="006B72E7"/>
    <w:rsid w:val="006C0117"/>
    <w:rsid w:val="006C1C0F"/>
    <w:rsid w:val="006C29DD"/>
    <w:rsid w:val="006C2E39"/>
    <w:rsid w:val="006C2EE5"/>
    <w:rsid w:val="006C365C"/>
    <w:rsid w:val="006C37C8"/>
    <w:rsid w:val="006C4C9F"/>
    <w:rsid w:val="006C60CD"/>
    <w:rsid w:val="006C7291"/>
    <w:rsid w:val="006C7D75"/>
    <w:rsid w:val="006D017C"/>
    <w:rsid w:val="006D15B2"/>
    <w:rsid w:val="006D1788"/>
    <w:rsid w:val="006D2B45"/>
    <w:rsid w:val="006D3F08"/>
    <w:rsid w:val="006D4846"/>
    <w:rsid w:val="006D51EB"/>
    <w:rsid w:val="006D58A3"/>
    <w:rsid w:val="006D5DA6"/>
    <w:rsid w:val="006E02E0"/>
    <w:rsid w:val="006E1313"/>
    <w:rsid w:val="006E2A48"/>
    <w:rsid w:val="006E45B0"/>
    <w:rsid w:val="006E4A13"/>
    <w:rsid w:val="006E4E00"/>
    <w:rsid w:val="006E558D"/>
    <w:rsid w:val="006E5E4B"/>
    <w:rsid w:val="006E664A"/>
    <w:rsid w:val="006E69F7"/>
    <w:rsid w:val="006E6BA9"/>
    <w:rsid w:val="006E6BE3"/>
    <w:rsid w:val="006E6D77"/>
    <w:rsid w:val="006E7025"/>
    <w:rsid w:val="006E73DF"/>
    <w:rsid w:val="006F0C85"/>
    <w:rsid w:val="006F107E"/>
    <w:rsid w:val="006F35E7"/>
    <w:rsid w:val="006F5368"/>
    <w:rsid w:val="006F573C"/>
    <w:rsid w:val="006F5DBD"/>
    <w:rsid w:val="006F77CA"/>
    <w:rsid w:val="00700EB1"/>
    <w:rsid w:val="00701882"/>
    <w:rsid w:val="00703FE5"/>
    <w:rsid w:val="007059F8"/>
    <w:rsid w:val="00705FDC"/>
    <w:rsid w:val="007072A7"/>
    <w:rsid w:val="00710B97"/>
    <w:rsid w:val="00710D7A"/>
    <w:rsid w:val="0071188F"/>
    <w:rsid w:val="00712EE9"/>
    <w:rsid w:val="0071418E"/>
    <w:rsid w:val="00715E76"/>
    <w:rsid w:val="007161EB"/>
    <w:rsid w:val="00716958"/>
    <w:rsid w:val="00717367"/>
    <w:rsid w:val="00717439"/>
    <w:rsid w:val="00720065"/>
    <w:rsid w:val="00720148"/>
    <w:rsid w:val="007201A7"/>
    <w:rsid w:val="007220F7"/>
    <w:rsid w:val="0072503F"/>
    <w:rsid w:val="007260C1"/>
    <w:rsid w:val="00726EA5"/>
    <w:rsid w:val="00727901"/>
    <w:rsid w:val="00730B1A"/>
    <w:rsid w:val="00731025"/>
    <w:rsid w:val="007320FA"/>
    <w:rsid w:val="00732158"/>
    <w:rsid w:val="00733C88"/>
    <w:rsid w:val="007340A1"/>
    <w:rsid w:val="00736DB5"/>
    <w:rsid w:val="00741E4B"/>
    <w:rsid w:val="0074312E"/>
    <w:rsid w:val="0074380A"/>
    <w:rsid w:val="00745902"/>
    <w:rsid w:val="00745AFE"/>
    <w:rsid w:val="00747817"/>
    <w:rsid w:val="00747935"/>
    <w:rsid w:val="00750D1C"/>
    <w:rsid w:val="00752A54"/>
    <w:rsid w:val="00755D06"/>
    <w:rsid w:val="00755F22"/>
    <w:rsid w:val="007561E6"/>
    <w:rsid w:val="00756E4A"/>
    <w:rsid w:val="00757C13"/>
    <w:rsid w:val="00762CCC"/>
    <w:rsid w:val="00765DF1"/>
    <w:rsid w:val="00767404"/>
    <w:rsid w:val="00767695"/>
    <w:rsid w:val="00770091"/>
    <w:rsid w:val="00775071"/>
    <w:rsid w:val="00776C49"/>
    <w:rsid w:val="0077781B"/>
    <w:rsid w:val="00777906"/>
    <w:rsid w:val="0078099C"/>
    <w:rsid w:val="0078222D"/>
    <w:rsid w:val="00782753"/>
    <w:rsid w:val="007833DE"/>
    <w:rsid w:val="00783CBF"/>
    <w:rsid w:val="00785846"/>
    <w:rsid w:val="0078629D"/>
    <w:rsid w:val="00787279"/>
    <w:rsid w:val="007902D9"/>
    <w:rsid w:val="007904FF"/>
    <w:rsid w:val="00790F90"/>
    <w:rsid w:val="00792464"/>
    <w:rsid w:val="00792DF0"/>
    <w:rsid w:val="007935C6"/>
    <w:rsid w:val="00794847"/>
    <w:rsid w:val="00797325"/>
    <w:rsid w:val="007976CE"/>
    <w:rsid w:val="007A0230"/>
    <w:rsid w:val="007A0648"/>
    <w:rsid w:val="007A0675"/>
    <w:rsid w:val="007A0B31"/>
    <w:rsid w:val="007A13B7"/>
    <w:rsid w:val="007A1E3C"/>
    <w:rsid w:val="007A743B"/>
    <w:rsid w:val="007B031A"/>
    <w:rsid w:val="007B15D4"/>
    <w:rsid w:val="007B41A0"/>
    <w:rsid w:val="007B4447"/>
    <w:rsid w:val="007B47C1"/>
    <w:rsid w:val="007B4D6C"/>
    <w:rsid w:val="007B6DF7"/>
    <w:rsid w:val="007C0ADB"/>
    <w:rsid w:val="007C0E69"/>
    <w:rsid w:val="007C3B3A"/>
    <w:rsid w:val="007C3C93"/>
    <w:rsid w:val="007C463C"/>
    <w:rsid w:val="007C5468"/>
    <w:rsid w:val="007C5974"/>
    <w:rsid w:val="007C71E7"/>
    <w:rsid w:val="007C7E98"/>
    <w:rsid w:val="007D0729"/>
    <w:rsid w:val="007D188D"/>
    <w:rsid w:val="007D19C0"/>
    <w:rsid w:val="007D27DB"/>
    <w:rsid w:val="007D3559"/>
    <w:rsid w:val="007D4D87"/>
    <w:rsid w:val="007D67C2"/>
    <w:rsid w:val="007D6ACF"/>
    <w:rsid w:val="007D787B"/>
    <w:rsid w:val="007E043E"/>
    <w:rsid w:val="007E4367"/>
    <w:rsid w:val="007E5147"/>
    <w:rsid w:val="007E6241"/>
    <w:rsid w:val="007E667C"/>
    <w:rsid w:val="007E6A42"/>
    <w:rsid w:val="007E71DB"/>
    <w:rsid w:val="007E7268"/>
    <w:rsid w:val="007E72D2"/>
    <w:rsid w:val="007F02A8"/>
    <w:rsid w:val="007F56C2"/>
    <w:rsid w:val="007F714B"/>
    <w:rsid w:val="00800168"/>
    <w:rsid w:val="00800265"/>
    <w:rsid w:val="0080084A"/>
    <w:rsid w:val="00801F3F"/>
    <w:rsid w:val="008034FF"/>
    <w:rsid w:val="00807254"/>
    <w:rsid w:val="008108D5"/>
    <w:rsid w:val="00810911"/>
    <w:rsid w:val="00810E57"/>
    <w:rsid w:val="00811D2E"/>
    <w:rsid w:val="008121E5"/>
    <w:rsid w:val="00812736"/>
    <w:rsid w:val="00813DC0"/>
    <w:rsid w:val="00814E6E"/>
    <w:rsid w:val="00815399"/>
    <w:rsid w:val="0081547C"/>
    <w:rsid w:val="00817862"/>
    <w:rsid w:val="008178F6"/>
    <w:rsid w:val="0082095C"/>
    <w:rsid w:val="00820E17"/>
    <w:rsid w:val="00823AF0"/>
    <w:rsid w:val="008243DB"/>
    <w:rsid w:val="008267F5"/>
    <w:rsid w:val="008308EB"/>
    <w:rsid w:val="00830985"/>
    <w:rsid w:val="00830D21"/>
    <w:rsid w:val="008314D4"/>
    <w:rsid w:val="00833848"/>
    <w:rsid w:val="00833C45"/>
    <w:rsid w:val="0083486E"/>
    <w:rsid w:val="00835EF6"/>
    <w:rsid w:val="0083603F"/>
    <w:rsid w:val="00837E11"/>
    <w:rsid w:val="008408F4"/>
    <w:rsid w:val="00841624"/>
    <w:rsid w:val="0084301B"/>
    <w:rsid w:val="0084368D"/>
    <w:rsid w:val="00844333"/>
    <w:rsid w:val="00844EC4"/>
    <w:rsid w:val="00845D0E"/>
    <w:rsid w:val="008471A6"/>
    <w:rsid w:val="00847549"/>
    <w:rsid w:val="00847764"/>
    <w:rsid w:val="00847965"/>
    <w:rsid w:val="00847A10"/>
    <w:rsid w:val="00847E3A"/>
    <w:rsid w:val="008531D7"/>
    <w:rsid w:val="00853B7E"/>
    <w:rsid w:val="00854BF3"/>
    <w:rsid w:val="0085509C"/>
    <w:rsid w:val="00855258"/>
    <w:rsid w:val="00855797"/>
    <w:rsid w:val="008558A0"/>
    <w:rsid w:val="00856F04"/>
    <w:rsid w:val="008573AA"/>
    <w:rsid w:val="00857AA8"/>
    <w:rsid w:val="00861CB8"/>
    <w:rsid w:val="0086269D"/>
    <w:rsid w:val="0086313B"/>
    <w:rsid w:val="008631FA"/>
    <w:rsid w:val="008638AC"/>
    <w:rsid w:val="00864405"/>
    <w:rsid w:val="00865A8A"/>
    <w:rsid w:val="008665A1"/>
    <w:rsid w:val="008706AD"/>
    <w:rsid w:val="00871CEE"/>
    <w:rsid w:val="00872346"/>
    <w:rsid w:val="008738CC"/>
    <w:rsid w:val="00873A32"/>
    <w:rsid w:val="00874E61"/>
    <w:rsid w:val="00874F96"/>
    <w:rsid w:val="0087595B"/>
    <w:rsid w:val="00876A7E"/>
    <w:rsid w:val="00876D91"/>
    <w:rsid w:val="00877C62"/>
    <w:rsid w:val="008801EA"/>
    <w:rsid w:val="008804AF"/>
    <w:rsid w:val="00882D54"/>
    <w:rsid w:val="0088321C"/>
    <w:rsid w:val="008832AF"/>
    <w:rsid w:val="008858FD"/>
    <w:rsid w:val="008869AF"/>
    <w:rsid w:val="00886C36"/>
    <w:rsid w:val="00886E01"/>
    <w:rsid w:val="00887988"/>
    <w:rsid w:val="0089133B"/>
    <w:rsid w:val="00891BAD"/>
    <w:rsid w:val="00891D0F"/>
    <w:rsid w:val="00892630"/>
    <w:rsid w:val="0089337C"/>
    <w:rsid w:val="00894755"/>
    <w:rsid w:val="0089574E"/>
    <w:rsid w:val="00895E56"/>
    <w:rsid w:val="0089742A"/>
    <w:rsid w:val="00897E79"/>
    <w:rsid w:val="008A130B"/>
    <w:rsid w:val="008A1FE7"/>
    <w:rsid w:val="008A20F7"/>
    <w:rsid w:val="008A2D2B"/>
    <w:rsid w:val="008A2FEA"/>
    <w:rsid w:val="008A34BD"/>
    <w:rsid w:val="008A5F35"/>
    <w:rsid w:val="008A61DE"/>
    <w:rsid w:val="008A6FE4"/>
    <w:rsid w:val="008B0E30"/>
    <w:rsid w:val="008B10FF"/>
    <w:rsid w:val="008B1B32"/>
    <w:rsid w:val="008B2D43"/>
    <w:rsid w:val="008B358B"/>
    <w:rsid w:val="008B506E"/>
    <w:rsid w:val="008B5ADE"/>
    <w:rsid w:val="008B5B95"/>
    <w:rsid w:val="008B6574"/>
    <w:rsid w:val="008B73D6"/>
    <w:rsid w:val="008B7839"/>
    <w:rsid w:val="008C11C9"/>
    <w:rsid w:val="008C28DE"/>
    <w:rsid w:val="008C2B0F"/>
    <w:rsid w:val="008C2E5F"/>
    <w:rsid w:val="008C2EC3"/>
    <w:rsid w:val="008C306C"/>
    <w:rsid w:val="008C5017"/>
    <w:rsid w:val="008C514D"/>
    <w:rsid w:val="008C6183"/>
    <w:rsid w:val="008C686A"/>
    <w:rsid w:val="008C7A73"/>
    <w:rsid w:val="008C7C1C"/>
    <w:rsid w:val="008C7FFA"/>
    <w:rsid w:val="008D0A8A"/>
    <w:rsid w:val="008D0F72"/>
    <w:rsid w:val="008D1C2E"/>
    <w:rsid w:val="008D3710"/>
    <w:rsid w:val="008D4055"/>
    <w:rsid w:val="008D4696"/>
    <w:rsid w:val="008E0FF2"/>
    <w:rsid w:val="008E1370"/>
    <w:rsid w:val="008E32A4"/>
    <w:rsid w:val="008E42E4"/>
    <w:rsid w:val="008E54DC"/>
    <w:rsid w:val="008E6B20"/>
    <w:rsid w:val="008F0583"/>
    <w:rsid w:val="008F17D0"/>
    <w:rsid w:val="008F18E3"/>
    <w:rsid w:val="008F3E39"/>
    <w:rsid w:val="008F42D6"/>
    <w:rsid w:val="008F4B1E"/>
    <w:rsid w:val="008F5661"/>
    <w:rsid w:val="008F5CE9"/>
    <w:rsid w:val="008F6655"/>
    <w:rsid w:val="008F6819"/>
    <w:rsid w:val="008F6F1F"/>
    <w:rsid w:val="009002C7"/>
    <w:rsid w:val="00900F2E"/>
    <w:rsid w:val="0090172C"/>
    <w:rsid w:val="00901D82"/>
    <w:rsid w:val="009035CB"/>
    <w:rsid w:val="0090488B"/>
    <w:rsid w:val="00904BC1"/>
    <w:rsid w:val="00905DAD"/>
    <w:rsid w:val="00910788"/>
    <w:rsid w:val="00911D24"/>
    <w:rsid w:val="0091235B"/>
    <w:rsid w:val="00913831"/>
    <w:rsid w:val="009138F4"/>
    <w:rsid w:val="00913B62"/>
    <w:rsid w:val="0091756D"/>
    <w:rsid w:val="00920C61"/>
    <w:rsid w:val="00920D0F"/>
    <w:rsid w:val="009213E3"/>
    <w:rsid w:val="00921725"/>
    <w:rsid w:val="0092194E"/>
    <w:rsid w:val="00921AD1"/>
    <w:rsid w:val="00922AEC"/>
    <w:rsid w:val="00924013"/>
    <w:rsid w:val="00926462"/>
    <w:rsid w:val="009310E4"/>
    <w:rsid w:val="009336F2"/>
    <w:rsid w:val="00933CB5"/>
    <w:rsid w:val="00934FF6"/>
    <w:rsid w:val="009362F2"/>
    <w:rsid w:val="00936FA2"/>
    <w:rsid w:val="00937FB3"/>
    <w:rsid w:val="00940E1A"/>
    <w:rsid w:val="009413A3"/>
    <w:rsid w:val="0094225D"/>
    <w:rsid w:val="00942CD0"/>
    <w:rsid w:val="009431B6"/>
    <w:rsid w:val="009441B9"/>
    <w:rsid w:val="00944703"/>
    <w:rsid w:val="00945D87"/>
    <w:rsid w:val="00950223"/>
    <w:rsid w:val="00951091"/>
    <w:rsid w:val="009514B8"/>
    <w:rsid w:val="00951893"/>
    <w:rsid w:val="0095272A"/>
    <w:rsid w:val="009537AD"/>
    <w:rsid w:val="009543C2"/>
    <w:rsid w:val="00954A41"/>
    <w:rsid w:val="00954B7A"/>
    <w:rsid w:val="00954FBA"/>
    <w:rsid w:val="00956163"/>
    <w:rsid w:val="00956476"/>
    <w:rsid w:val="0095689E"/>
    <w:rsid w:val="00956D9B"/>
    <w:rsid w:val="00956E04"/>
    <w:rsid w:val="00957918"/>
    <w:rsid w:val="00960B83"/>
    <w:rsid w:val="00960E3F"/>
    <w:rsid w:val="00962075"/>
    <w:rsid w:val="009622C5"/>
    <w:rsid w:val="00964936"/>
    <w:rsid w:val="00965014"/>
    <w:rsid w:val="00965CC5"/>
    <w:rsid w:val="009662B2"/>
    <w:rsid w:val="009665E0"/>
    <w:rsid w:val="00966D4F"/>
    <w:rsid w:val="009715F3"/>
    <w:rsid w:val="009726B9"/>
    <w:rsid w:val="009732CC"/>
    <w:rsid w:val="00973D80"/>
    <w:rsid w:val="009743A8"/>
    <w:rsid w:val="00975948"/>
    <w:rsid w:val="00975B47"/>
    <w:rsid w:val="00975C84"/>
    <w:rsid w:val="00975EC5"/>
    <w:rsid w:val="00975FC8"/>
    <w:rsid w:val="0097630F"/>
    <w:rsid w:val="009765BD"/>
    <w:rsid w:val="00976602"/>
    <w:rsid w:val="00976EBB"/>
    <w:rsid w:val="009779FE"/>
    <w:rsid w:val="009825CB"/>
    <w:rsid w:val="009826E6"/>
    <w:rsid w:val="00983989"/>
    <w:rsid w:val="00983BA2"/>
    <w:rsid w:val="00984405"/>
    <w:rsid w:val="009854ED"/>
    <w:rsid w:val="0098674F"/>
    <w:rsid w:val="00990207"/>
    <w:rsid w:val="00990A66"/>
    <w:rsid w:val="00991265"/>
    <w:rsid w:val="00995F18"/>
    <w:rsid w:val="0099693C"/>
    <w:rsid w:val="00997004"/>
    <w:rsid w:val="00997DF6"/>
    <w:rsid w:val="009A06ED"/>
    <w:rsid w:val="009A1B45"/>
    <w:rsid w:val="009A2D7B"/>
    <w:rsid w:val="009A32C5"/>
    <w:rsid w:val="009A4968"/>
    <w:rsid w:val="009A5101"/>
    <w:rsid w:val="009A51FE"/>
    <w:rsid w:val="009A63AB"/>
    <w:rsid w:val="009B0A5F"/>
    <w:rsid w:val="009B0B23"/>
    <w:rsid w:val="009B19DB"/>
    <w:rsid w:val="009B24AC"/>
    <w:rsid w:val="009B2820"/>
    <w:rsid w:val="009B33FA"/>
    <w:rsid w:val="009B357C"/>
    <w:rsid w:val="009B3E4F"/>
    <w:rsid w:val="009B4103"/>
    <w:rsid w:val="009B559B"/>
    <w:rsid w:val="009B6212"/>
    <w:rsid w:val="009B79A0"/>
    <w:rsid w:val="009B7A07"/>
    <w:rsid w:val="009C00A8"/>
    <w:rsid w:val="009C131A"/>
    <w:rsid w:val="009C34C4"/>
    <w:rsid w:val="009C5C4E"/>
    <w:rsid w:val="009C5D26"/>
    <w:rsid w:val="009D090E"/>
    <w:rsid w:val="009D0BD8"/>
    <w:rsid w:val="009D1F10"/>
    <w:rsid w:val="009D24F2"/>
    <w:rsid w:val="009D32FD"/>
    <w:rsid w:val="009D3D03"/>
    <w:rsid w:val="009D667E"/>
    <w:rsid w:val="009D7C0F"/>
    <w:rsid w:val="009D7E0C"/>
    <w:rsid w:val="009E0390"/>
    <w:rsid w:val="009E1320"/>
    <w:rsid w:val="009E1D32"/>
    <w:rsid w:val="009E277C"/>
    <w:rsid w:val="009E282F"/>
    <w:rsid w:val="009E3007"/>
    <w:rsid w:val="009E35AF"/>
    <w:rsid w:val="009E394E"/>
    <w:rsid w:val="009E40EA"/>
    <w:rsid w:val="009E4B59"/>
    <w:rsid w:val="009E50BD"/>
    <w:rsid w:val="009E5174"/>
    <w:rsid w:val="009E607F"/>
    <w:rsid w:val="009E6476"/>
    <w:rsid w:val="009E7CAE"/>
    <w:rsid w:val="009F05DE"/>
    <w:rsid w:val="009F0E57"/>
    <w:rsid w:val="009F1172"/>
    <w:rsid w:val="009F120B"/>
    <w:rsid w:val="009F133F"/>
    <w:rsid w:val="009F1A45"/>
    <w:rsid w:val="009F2B2C"/>
    <w:rsid w:val="009F2DCE"/>
    <w:rsid w:val="009F40A6"/>
    <w:rsid w:val="009F42C7"/>
    <w:rsid w:val="00A012B0"/>
    <w:rsid w:val="00A029B5"/>
    <w:rsid w:val="00A03875"/>
    <w:rsid w:val="00A03C15"/>
    <w:rsid w:val="00A03F24"/>
    <w:rsid w:val="00A049EA"/>
    <w:rsid w:val="00A04E85"/>
    <w:rsid w:val="00A04F64"/>
    <w:rsid w:val="00A055C6"/>
    <w:rsid w:val="00A111DB"/>
    <w:rsid w:val="00A12C77"/>
    <w:rsid w:val="00A12D74"/>
    <w:rsid w:val="00A137BF"/>
    <w:rsid w:val="00A14C56"/>
    <w:rsid w:val="00A14CB5"/>
    <w:rsid w:val="00A15399"/>
    <w:rsid w:val="00A21CBD"/>
    <w:rsid w:val="00A2224C"/>
    <w:rsid w:val="00A2249E"/>
    <w:rsid w:val="00A2578D"/>
    <w:rsid w:val="00A257FA"/>
    <w:rsid w:val="00A3043D"/>
    <w:rsid w:val="00A30BA8"/>
    <w:rsid w:val="00A31E63"/>
    <w:rsid w:val="00A340F5"/>
    <w:rsid w:val="00A34714"/>
    <w:rsid w:val="00A358AC"/>
    <w:rsid w:val="00A35E6C"/>
    <w:rsid w:val="00A36C37"/>
    <w:rsid w:val="00A40E0E"/>
    <w:rsid w:val="00A41AEC"/>
    <w:rsid w:val="00A426E9"/>
    <w:rsid w:val="00A43450"/>
    <w:rsid w:val="00A4554A"/>
    <w:rsid w:val="00A45F08"/>
    <w:rsid w:val="00A46169"/>
    <w:rsid w:val="00A4637D"/>
    <w:rsid w:val="00A50C0C"/>
    <w:rsid w:val="00A50FD2"/>
    <w:rsid w:val="00A51314"/>
    <w:rsid w:val="00A52302"/>
    <w:rsid w:val="00A5371B"/>
    <w:rsid w:val="00A538B6"/>
    <w:rsid w:val="00A54586"/>
    <w:rsid w:val="00A5727D"/>
    <w:rsid w:val="00A57B1D"/>
    <w:rsid w:val="00A600C3"/>
    <w:rsid w:val="00A60F83"/>
    <w:rsid w:val="00A624BF"/>
    <w:rsid w:val="00A62BD1"/>
    <w:rsid w:val="00A65326"/>
    <w:rsid w:val="00A65C20"/>
    <w:rsid w:val="00A65CDD"/>
    <w:rsid w:val="00A65E27"/>
    <w:rsid w:val="00A66FD1"/>
    <w:rsid w:val="00A67344"/>
    <w:rsid w:val="00A705D8"/>
    <w:rsid w:val="00A709A8"/>
    <w:rsid w:val="00A70EB8"/>
    <w:rsid w:val="00A71D8D"/>
    <w:rsid w:val="00A729EC"/>
    <w:rsid w:val="00A740FD"/>
    <w:rsid w:val="00A763C6"/>
    <w:rsid w:val="00A765B2"/>
    <w:rsid w:val="00A77BF3"/>
    <w:rsid w:val="00A80ED8"/>
    <w:rsid w:val="00A829F1"/>
    <w:rsid w:val="00A83229"/>
    <w:rsid w:val="00A83DB4"/>
    <w:rsid w:val="00A83E38"/>
    <w:rsid w:val="00A83E9C"/>
    <w:rsid w:val="00A90C90"/>
    <w:rsid w:val="00A93309"/>
    <w:rsid w:val="00A95D5E"/>
    <w:rsid w:val="00A976DD"/>
    <w:rsid w:val="00A977F3"/>
    <w:rsid w:val="00AA4F7E"/>
    <w:rsid w:val="00AB0223"/>
    <w:rsid w:val="00AB13A7"/>
    <w:rsid w:val="00AB15E8"/>
    <w:rsid w:val="00AB275C"/>
    <w:rsid w:val="00AB27EF"/>
    <w:rsid w:val="00AB2BD0"/>
    <w:rsid w:val="00AB3AE7"/>
    <w:rsid w:val="00AB5E9A"/>
    <w:rsid w:val="00AB611B"/>
    <w:rsid w:val="00AB61F2"/>
    <w:rsid w:val="00AB79C4"/>
    <w:rsid w:val="00AC1A9C"/>
    <w:rsid w:val="00AC2AE8"/>
    <w:rsid w:val="00AC3514"/>
    <w:rsid w:val="00AC3D02"/>
    <w:rsid w:val="00AC435A"/>
    <w:rsid w:val="00AC4FD6"/>
    <w:rsid w:val="00AC7757"/>
    <w:rsid w:val="00AD0A5C"/>
    <w:rsid w:val="00AD157F"/>
    <w:rsid w:val="00AD4627"/>
    <w:rsid w:val="00AD4E1C"/>
    <w:rsid w:val="00AD5893"/>
    <w:rsid w:val="00AD5F71"/>
    <w:rsid w:val="00AD7CD3"/>
    <w:rsid w:val="00AE0E53"/>
    <w:rsid w:val="00AE1200"/>
    <w:rsid w:val="00AE2EFE"/>
    <w:rsid w:val="00AE3FA1"/>
    <w:rsid w:val="00AE4194"/>
    <w:rsid w:val="00AE5272"/>
    <w:rsid w:val="00AE5B88"/>
    <w:rsid w:val="00AE6D5C"/>
    <w:rsid w:val="00AE754C"/>
    <w:rsid w:val="00AF0C15"/>
    <w:rsid w:val="00AF0E31"/>
    <w:rsid w:val="00AF10CA"/>
    <w:rsid w:val="00AF1B61"/>
    <w:rsid w:val="00AF28D6"/>
    <w:rsid w:val="00AF3938"/>
    <w:rsid w:val="00AF3C3D"/>
    <w:rsid w:val="00AF5FC4"/>
    <w:rsid w:val="00B00CB4"/>
    <w:rsid w:val="00B02D85"/>
    <w:rsid w:val="00B02DA4"/>
    <w:rsid w:val="00B04337"/>
    <w:rsid w:val="00B04FC4"/>
    <w:rsid w:val="00B05758"/>
    <w:rsid w:val="00B076D0"/>
    <w:rsid w:val="00B07C15"/>
    <w:rsid w:val="00B10366"/>
    <w:rsid w:val="00B106E5"/>
    <w:rsid w:val="00B10A02"/>
    <w:rsid w:val="00B12BE8"/>
    <w:rsid w:val="00B13699"/>
    <w:rsid w:val="00B13C2F"/>
    <w:rsid w:val="00B14A17"/>
    <w:rsid w:val="00B15C63"/>
    <w:rsid w:val="00B22355"/>
    <w:rsid w:val="00B24712"/>
    <w:rsid w:val="00B247AD"/>
    <w:rsid w:val="00B24842"/>
    <w:rsid w:val="00B25C0D"/>
    <w:rsid w:val="00B26178"/>
    <w:rsid w:val="00B269C5"/>
    <w:rsid w:val="00B26EA5"/>
    <w:rsid w:val="00B2773D"/>
    <w:rsid w:val="00B306F7"/>
    <w:rsid w:val="00B30ACD"/>
    <w:rsid w:val="00B31D73"/>
    <w:rsid w:val="00B32525"/>
    <w:rsid w:val="00B3453E"/>
    <w:rsid w:val="00B35892"/>
    <w:rsid w:val="00B36F61"/>
    <w:rsid w:val="00B40086"/>
    <w:rsid w:val="00B4245A"/>
    <w:rsid w:val="00B42691"/>
    <w:rsid w:val="00B436D6"/>
    <w:rsid w:val="00B43812"/>
    <w:rsid w:val="00B444A1"/>
    <w:rsid w:val="00B4492D"/>
    <w:rsid w:val="00B458EA"/>
    <w:rsid w:val="00B50EBA"/>
    <w:rsid w:val="00B51845"/>
    <w:rsid w:val="00B5227C"/>
    <w:rsid w:val="00B5683A"/>
    <w:rsid w:val="00B56D17"/>
    <w:rsid w:val="00B60E52"/>
    <w:rsid w:val="00B62139"/>
    <w:rsid w:val="00B63093"/>
    <w:rsid w:val="00B645CB"/>
    <w:rsid w:val="00B649E2"/>
    <w:rsid w:val="00B64EAD"/>
    <w:rsid w:val="00B65957"/>
    <w:rsid w:val="00B667CC"/>
    <w:rsid w:val="00B67DB2"/>
    <w:rsid w:val="00B70022"/>
    <w:rsid w:val="00B70142"/>
    <w:rsid w:val="00B7052F"/>
    <w:rsid w:val="00B71496"/>
    <w:rsid w:val="00B7154C"/>
    <w:rsid w:val="00B725C0"/>
    <w:rsid w:val="00B72975"/>
    <w:rsid w:val="00B7346C"/>
    <w:rsid w:val="00B742FA"/>
    <w:rsid w:val="00B74933"/>
    <w:rsid w:val="00B74B77"/>
    <w:rsid w:val="00B7678A"/>
    <w:rsid w:val="00B76E16"/>
    <w:rsid w:val="00B7765E"/>
    <w:rsid w:val="00B7773C"/>
    <w:rsid w:val="00B82462"/>
    <w:rsid w:val="00B84042"/>
    <w:rsid w:val="00B8487D"/>
    <w:rsid w:val="00B849C8"/>
    <w:rsid w:val="00B85649"/>
    <w:rsid w:val="00B85E83"/>
    <w:rsid w:val="00B85EBE"/>
    <w:rsid w:val="00B8771F"/>
    <w:rsid w:val="00B90FF8"/>
    <w:rsid w:val="00B92DE8"/>
    <w:rsid w:val="00B93625"/>
    <w:rsid w:val="00B94835"/>
    <w:rsid w:val="00B948C4"/>
    <w:rsid w:val="00B95BC2"/>
    <w:rsid w:val="00BA1D5E"/>
    <w:rsid w:val="00BA1E1D"/>
    <w:rsid w:val="00BA207D"/>
    <w:rsid w:val="00BA211C"/>
    <w:rsid w:val="00BA226F"/>
    <w:rsid w:val="00BA3EC6"/>
    <w:rsid w:val="00BA4942"/>
    <w:rsid w:val="00BA52C9"/>
    <w:rsid w:val="00BA7F16"/>
    <w:rsid w:val="00BB043B"/>
    <w:rsid w:val="00BB108F"/>
    <w:rsid w:val="00BB2456"/>
    <w:rsid w:val="00BB27E4"/>
    <w:rsid w:val="00BB59AE"/>
    <w:rsid w:val="00BB6754"/>
    <w:rsid w:val="00BB6FB6"/>
    <w:rsid w:val="00BB7FE2"/>
    <w:rsid w:val="00BC09DA"/>
    <w:rsid w:val="00BC28AB"/>
    <w:rsid w:val="00BC4C63"/>
    <w:rsid w:val="00BC50BF"/>
    <w:rsid w:val="00BC59B9"/>
    <w:rsid w:val="00BC6E30"/>
    <w:rsid w:val="00BC7E53"/>
    <w:rsid w:val="00BD0FEC"/>
    <w:rsid w:val="00BD105B"/>
    <w:rsid w:val="00BD1A42"/>
    <w:rsid w:val="00BD1B26"/>
    <w:rsid w:val="00BD2A35"/>
    <w:rsid w:val="00BD48D1"/>
    <w:rsid w:val="00BD5BC5"/>
    <w:rsid w:val="00BD5F36"/>
    <w:rsid w:val="00BD632C"/>
    <w:rsid w:val="00BD7038"/>
    <w:rsid w:val="00BD7DE6"/>
    <w:rsid w:val="00BE05B7"/>
    <w:rsid w:val="00BE08FC"/>
    <w:rsid w:val="00BE1366"/>
    <w:rsid w:val="00BE39F2"/>
    <w:rsid w:val="00BE422C"/>
    <w:rsid w:val="00BE44F6"/>
    <w:rsid w:val="00BE5AEE"/>
    <w:rsid w:val="00BE5DFC"/>
    <w:rsid w:val="00BE5FB7"/>
    <w:rsid w:val="00BE6B59"/>
    <w:rsid w:val="00BF0EFA"/>
    <w:rsid w:val="00BF2881"/>
    <w:rsid w:val="00BF32DA"/>
    <w:rsid w:val="00BF3542"/>
    <w:rsid w:val="00BF393A"/>
    <w:rsid w:val="00BF3FEE"/>
    <w:rsid w:val="00BF4BC4"/>
    <w:rsid w:val="00BF4D31"/>
    <w:rsid w:val="00C00822"/>
    <w:rsid w:val="00C00F35"/>
    <w:rsid w:val="00C01629"/>
    <w:rsid w:val="00C033CB"/>
    <w:rsid w:val="00C0356B"/>
    <w:rsid w:val="00C03B50"/>
    <w:rsid w:val="00C0425D"/>
    <w:rsid w:val="00C043E3"/>
    <w:rsid w:val="00C04654"/>
    <w:rsid w:val="00C05176"/>
    <w:rsid w:val="00C054B9"/>
    <w:rsid w:val="00C074A3"/>
    <w:rsid w:val="00C07682"/>
    <w:rsid w:val="00C07D3C"/>
    <w:rsid w:val="00C12222"/>
    <w:rsid w:val="00C13C6A"/>
    <w:rsid w:val="00C13FDB"/>
    <w:rsid w:val="00C141AB"/>
    <w:rsid w:val="00C15851"/>
    <w:rsid w:val="00C167A3"/>
    <w:rsid w:val="00C168BC"/>
    <w:rsid w:val="00C17455"/>
    <w:rsid w:val="00C17944"/>
    <w:rsid w:val="00C20D0A"/>
    <w:rsid w:val="00C20D98"/>
    <w:rsid w:val="00C215F8"/>
    <w:rsid w:val="00C21AA8"/>
    <w:rsid w:val="00C255D4"/>
    <w:rsid w:val="00C26D0F"/>
    <w:rsid w:val="00C30913"/>
    <w:rsid w:val="00C3144F"/>
    <w:rsid w:val="00C32230"/>
    <w:rsid w:val="00C323C3"/>
    <w:rsid w:val="00C333EB"/>
    <w:rsid w:val="00C33FA4"/>
    <w:rsid w:val="00C35EE3"/>
    <w:rsid w:val="00C36534"/>
    <w:rsid w:val="00C409C2"/>
    <w:rsid w:val="00C41969"/>
    <w:rsid w:val="00C42C81"/>
    <w:rsid w:val="00C43335"/>
    <w:rsid w:val="00C438B1"/>
    <w:rsid w:val="00C43ACB"/>
    <w:rsid w:val="00C43E5E"/>
    <w:rsid w:val="00C44E90"/>
    <w:rsid w:val="00C4545D"/>
    <w:rsid w:val="00C478F6"/>
    <w:rsid w:val="00C47C1D"/>
    <w:rsid w:val="00C50CF3"/>
    <w:rsid w:val="00C510D1"/>
    <w:rsid w:val="00C52A33"/>
    <w:rsid w:val="00C543DA"/>
    <w:rsid w:val="00C54FEB"/>
    <w:rsid w:val="00C60974"/>
    <w:rsid w:val="00C63CFB"/>
    <w:rsid w:val="00C651DF"/>
    <w:rsid w:val="00C659EF"/>
    <w:rsid w:val="00C66FC0"/>
    <w:rsid w:val="00C67D07"/>
    <w:rsid w:val="00C70978"/>
    <w:rsid w:val="00C713FD"/>
    <w:rsid w:val="00C72B32"/>
    <w:rsid w:val="00C72B9F"/>
    <w:rsid w:val="00C73103"/>
    <w:rsid w:val="00C73C3E"/>
    <w:rsid w:val="00C74DD3"/>
    <w:rsid w:val="00C76CFD"/>
    <w:rsid w:val="00C76FA4"/>
    <w:rsid w:val="00C776C6"/>
    <w:rsid w:val="00C805D7"/>
    <w:rsid w:val="00C80E7F"/>
    <w:rsid w:val="00C8324F"/>
    <w:rsid w:val="00C83D59"/>
    <w:rsid w:val="00C86CDD"/>
    <w:rsid w:val="00C92F0D"/>
    <w:rsid w:val="00C9352F"/>
    <w:rsid w:val="00C93AA6"/>
    <w:rsid w:val="00C9450D"/>
    <w:rsid w:val="00C95175"/>
    <w:rsid w:val="00C96171"/>
    <w:rsid w:val="00C963B6"/>
    <w:rsid w:val="00C974BB"/>
    <w:rsid w:val="00C97906"/>
    <w:rsid w:val="00C97EB1"/>
    <w:rsid w:val="00CA07D0"/>
    <w:rsid w:val="00CA18D1"/>
    <w:rsid w:val="00CA1CC2"/>
    <w:rsid w:val="00CA2861"/>
    <w:rsid w:val="00CA28CC"/>
    <w:rsid w:val="00CA2C23"/>
    <w:rsid w:val="00CA36F1"/>
    <w:rsid w:val="00CA4F59"/>
    <w:rsid w:val="00CA5431"/>
    <w:rsid w:val="00CA5501"/>
    <w:rsid w:val="00CA56FA"/>
    <w:rsid w:val="00CA60A7"/>
    <w:rsid w:val="00CA72EC"/>
    <w:rsid w:val="00CA7A53"/>
    <w:rsid w:val="00CB0CA2"/>
    <w:rsid w:val="00CB17DC"/>
    <w:rsid w:val="00CB206E"/>
    <w:rsid w:val="00CB2640"/>
    <w:rsid w:val="00CB53A1"/>
    <w:rsid w:val="00CB6333"/>
    <w:rsid w:val="00CB7025"/>
    <w:rsid w:val="00CB706D"/>
    <w:rsid w:val="00CB726A"/>
    <w:rsid w:val="00CC0476"/>
    <w:rsid w:val="00CC08E3"/>
    <w:rsid w:val="00CC13F1"/>
    <w:rsid w:val="00CC4191"/>
    <w:rsid w:val="00CC523E"/>
    <w:rsid w:val="00CC5A74"/>
    <w:rsid w:val="00CC6E21"/>
    <w:rsid w:val="00CD0CED"/>
    <w:rsid w:val="00CD1367"/>
    <w:rsid w:val="00CD34DC"/>
    <w:rsid w:val="00CD5390"/>
    <w:rsid w:val="00CD678F"/>
    <w:rsid w:val="00CE0706"/>
    <w:rsid w:val="00CE48B5"/>
    <w:rsid w:val="00CE490F"/>
    <w:rsid w:val="00CE4B6F"/>
    <w:rsid w:val="00CE4F0F"/>
    <w:rsid w:val="00CE59DD"/>
    <w:rsid w:val="00CE7EC6"/>
    <w:rsid w:val="00CE7F5C"/>
    <w:rsid w:val="00CF00E3"/>
    <w:rsid w:val="00CF013B"/>
    <w:rsid w:val="00CF0911"/>
    <w:rsid w:val="00CF125F"/>
    <w:rsid w:val="00CF1BD9"/>
    <w:rsid w:val="00CF2F6C"/>
    <w:rsid w:val="00CF3FDC"/>
    <w:rsid w:val="00CF4C04"/>
    <w:rsid w:val="00CF4C7C"/>
    <w:rsid w:val="00CF4C9F"/>
    <w:rsid w:val="00CF5E8E"/>
    <w:rsid w:val="00D00A6F"/>
    <w:rsid w:val="00D0113F"/>
    <w:rsid w:val="00D020FB"/>
    <w:rsid w:val="00D04B9A"/>
    <w:rsid w:val="00D0550D"/>
    <w:rsid w:val="00D07609"/>
    <w:rsid w:val="00D12116"/>
    <w:rsid w:val="00D13480"/>
    <w:rsid w:val="00D149B2"/>
    <w:rsid w:val="00D14C51"/>
    <w:rsid w:val="00D16842"/>
    <w:rsid w:val="00D17C08"/>
    <w:rsid w:val="00D216E7"/>
    <w:rsid w:val="00D22C07"/>
    <w:rsid w:val="00D22F38"/>
    <w:rsid w:val="00D2309B"/>
    <w:rsid w:val="00D23E71"/>
    <w:rsid w:val="00D257D1"/>
    <w:rsid w:val="00D2638B"/>
    <w:rsid w:val="00D26642"/>
    <w:rsid w:val="00D26FB0"/>
    <w:rsid w:val="00D26FC6"/>
    <w:rsid w:val="00D332B5"/>
    <w:rsid w:val="00D33771"/>
    <w:rsid w:val="00D33DDF"/>
    <w:rsid w:val="00D34748"/>
    <w:rsid w:val="00D34E4B"/>
    <w:rsid w:val="00D367A6"/>
    <w:rsid w:val="00D37A0B"/>
    <w:rsid w:val="00D404D1"/>
    <w:rsid w:val="00D43443"/>
    <w:rsid w:val="00D436A8"/>
    <w:rsid w:val="00D43AE0"/>
    <w:rsid w:val="00D44C7E"/>
    <w:rsid w:val="00D47C82"/>
    <w:rsid w:val="00D51AB0"/>
    <w:rsid w:val="00D51D4D"/>
    <w:rsid w:val="00D51F50"/>
    <w:rsid w:val="00D52CB5"/>
    <w:rsid w:val="00D5335F"/>
    <w:rsid w:val="00D542DF"/>
    <w:rsid w:val="00D5548A"/>
    <w:rsid w:val="00D56323"/>
    <w:rsid w:val="00D619E4"/>
    <w:rsid w:val="00D61AE6"/>
    <w:rsid w:val="00D62400"/>
    <w:rsid w:val="00D648F1"/>
    <w:rsid w:val="00D64A6A"/>
    <w:rsid w:val="00D659C0"/>
    <w:rsid w:val="00D66777"/>
    <w:rsid w:val="00D66CE1"/>
    <w:rsid w:val="00D701E3"/>
    <w:rsid w:val="00D70316"/>
    <w:rsid w:val="00D708A9"/>
    <w:rsid w:val="00D70F9D"/>
    <w:rsid w:val="00D75DCF"/>
    <w:rsid w:val="00D762DD"/>
    <w:rsid w:val="00D8026A"/>
    <w:rsid w:val="00D831E5"/>
    <w:rsid w:val="00D83E9B"/>
    <w:rsid w:val="00D84128"/>
    <w:rsid w:val="00D843E4"/>
    <w:rsid w:val="00D84881"/>
    <w:rsid w:val="00D86F73"/>
    <w:rsid w:val="00D9054F"/>
    <w:rsid w:val="00D9109E"/>
    <w:rsid w:val="00D9372C"/>
    <w:rsid w:val="00D94030"/>
    <w:rsid w:val="00D945E1"/>
    <w:rsid w:val="00D96385"/>
    <w:rsid w:val="00DA0642"/>
    <w:rsid w:val="00DA1AD8"/>
    <w:rsid w:val="00DA31CB"/>
    <w:rsid w:val="00DA37FB"/>
    <w:rsid w:val="00DA4DD2"/>
    <w:rsid w:val="00DA5853"/>
    <w:rsid w:val="00DA594C"/>
    <w:rsid w:val="00DA7835"/>
    <w:rsid w:val="00DA78B6"/>
    <w:rsid w:val="00DB2C42"/>
    <w:rsid w:val="00DB3A96"/>
    <w:rsid w:val="00DB70DD"/>
    <w:rsid w:val="00DB7302"/>
    <w:rsid w:val="00DB79B4"/>
    <w:rsid w:val="00DC03C4"/>
    <w:rsid w:val="00DC081B"/>
    <w:rsid w:val="00DC14C5"/>
    <w:rsid w:val="00DC1EFA"/>
    <w:rsid w:val="00DC202F"/>
    <w:rsid w:val="00DC494A"/>
    <w:rsid w:val="00DC54FF"/>
    <w:rsid w:val="00DC63EF"/>
    <w:rsid w:val="00DC7633"/>
    <w:rsid w:val="00DC7B37"/>
    <w:rsid w:val="00DC7BAB"/>
    <w:rsid w:val="00DD17C0"/>
    <w:rsid w:val="00DD2680"/>
    <w:rsid w:val="00DD334F"/>
    <w:rsid w:val="00DD3F1B"/>
    <w:rsid w:val="00DD3FC9"/>
    <w:rsid w:val="00DD6969"/>
    <w:rsid w:val="00DD72A0"/>
    <w:rsid w:val="00DE2C2B"/>
    <w:rsid w:val="00DE2C77"/>
    <w:rsid w:val="00DE3664"/>
    <w:rsid w:val="00DE401D"/>
    <w:rsid w:val="00DE409E"/>
    <w:rsid w:val="00DE5A07"/>
    <w:rsid w:val="00DE5C42"/>
    <w:rsid w:val="00DE6306"/>
    <w:rsid w:val="00DE788B"/>
    <w:rsid w:val="00DF1149"/>
    <w:rsid w:val="00DF1489"/>
    <w:rsid w:val="00DF1A6B"/>
    <w:rsid w:val="00DF2215"/>
    <w:rsid w:val="00DF308A"/>
    <w:rsid w:val="00DF7E95"/>
    <w:rsid w:val="00E00C75"/>
    <w:rsid w:val="00E0245D"/>
    <w:rsid w:val="00E02CF9"/>
    <w:rsid w:val="00E02E7B"/>
    <w:rsid w:val="00E02F83"/>
    <w:rsid w:val="00E043E2"/>
    <w:rsid w:val="00E04A79"/>
    <w:rsid w:val="00E06813"/>
    <w:rsid w:val="00E075A1"/>
    <w:rsid w:val="00E07E61"/>
    <w:rsid w:val="00E10220"/>
    <w:rsid w:val="00E1095B"/>
    <w:rsid w:val="00E1221E"/>
    <w:rsid w:val="00E12221"/>
    <w:rsid w:val="00E1247E"/>
    <w:rsid w:val="00E12CEE"/>
    <w:rsid w:val="00E12D3F"/>
    <w:rsid w:val="00E13A6E"/>
    <w:rsid w:val="00E141E7"/>
    <w:rsid w:val="00E15A1D"/>
    <w:rsid w:val="00E16FBB"/>
    <w:rsid w:val="00E21B96"/>
    <w:rsid w:val="00E21E1A"/>
    <w:rsid w:val="00E220EF"/>
    <w:rsid w:val="00E2588D"/>
    <w:rsid w:val="00E25DC8"/>
    <w:rsid w:val="00E30E72"/>
    <w:rsid w:val="00E31E13"/>
    <w:rsid w:val="00E3276D"/>
    <w:rsid w:val="00E32A26"/>
    <w:rsid w:val="00E32C91"/>
    <w:rsid w:val="00E33556"/>
    <w:rsid w:val="00E33979"/>
    <w:rsid w:val="00E34E3C"/>
    <w:rsid w:val="00E360F5"/>
    <w:rsid w:val="00E36485"/>
    <w:rsid w:val="00E36551"/>
    <w:rsid w:val="00E37304"/>
    <w:rsid w:val="00E44EE8"/>
    <w:rsid w:val="00E4500C"/>
    <w:rsid w:val="00E450B7"/>
    <w:rsid w:val="00E5015B"/>
    <w:rsid w:val="00E5247B"/>
    <w:rsid w:val="00E5256D"/>
    <w:rsid w:val="00E52BB3"/>
    <w:rsid w:val="00E542B3"/>
    <w:rsid w:val="00E55550"/>
    <w:rsid w:val="00E55584"/>
    <w:rsid w:val="00E556BB"/>
    <w:rsid w:val="00E55E4B"/>
    <w:rsid w:val="00E56A38"/>
    <w:rsid w:val="00E5706F"/>
    <w:rsid w:val="00E57608"/>
    <w:rsid w:val="00E57B57"/>
    <w:rsid w:val="00E60BB1"/>
    <w:rsid w:val="00E60C05"/>
    <w:rsid w:val="00E62DAA"/>
    <w:rsid w:val="00E63828"/>
    <w:rsid w:val="00E645CD"/>
    <w:rsid w:val="00E649E1"/>
    <w:rsid w:val="00E64D24"/>
    <w:rsid w:val="00E6616B"/>
    <w:rsid w:val="00E70301"/>
    <w:rsid w:val="00E70E86"/>
    <w:rsid w:val="00E71833"/>
    <w:rsid w:val="00E721F1"/>
    <w:rsid w:val="00E72A3A"/>
    <w:rsid w:val="00E74263"/>
    <w:rsid w:val="00E763E0"/>
    <w:rsid w:val="00E81592"/>
    <w:rsid w:val="00E82370"/>
    <w:rsid w:val="00E833DF"/>
    <w:rsid w:val="00E83EC4"/>
    <w:rsid w:val="00E846B4"/>
    <w:rsid w:val="00E84EF4"/>
    <w:rsid w:val="00E85194"/>
    <w:rsid w:val="00E85DBD"/>
    <w:rsid w:val="00E85FEF"/>
    <w:rsid w:val="00E8628E"/>
    <w:rsid w:val="00E902E8"/>
    <w:rsid w:val="00E90D30"/>
    <w:rsid w:val="00E932AD"/>
    <w:rsid w:val="00E933E8"/>
    <w:rsid w:val="00E95057"/>
    <w:rsid w:val="00E96368"/>
    <w:rsid w:val="00E96C36"/>
    <w:rsid w:val="00EA0CD7"/>
    <w:rsid w:val="00EA120C"/>
    <w:rsid w:val="00EA1DD4"/>
    <w:rsid w:val="00EA3AFA"/>
    <w:rsid w:val="00EA4A2C"/>
    <w:rsid w:val="00EA6170"/>
    <w:rsid w:val="00EA68F6"/>
    <w:rsid w:val="00EA6F3A"/>
    <w:rsid w:val="00EB0152"/>
    <w:rsid w:val="00EB07E3"/>
    <w:rsid w:val="00EB2A93"/>
    <w:rsid w:val="00EB2BF3"/>
    <w:rsid w:val="00EB35EF"/>
    <w:rsid w:val="00EB4110"/>
    <w:rsid w:val="00EB4426"/>
    <w:rsid w:val="00EB4E60"/>
    <w:rsid w:val="00EB6B09"/>
    <w:rsid w:val="00EB7D25"/>
    <w:rsid w:val="00EC1765"/>
    <w:rsid w:val="00EC2D02"/>
    <w:rsid w:val="00EC2F76"/>
    <w:rsid w:val="00EC3472"/>
    <w:rsid w:val="00ED2A3A"/>
    <w:rsid w:val="00ED2A96"/>
    <w:rsid w:val="00ED2CE4"/>
    <w:rsid w:val="00ED4EB9"/>
    <w:rsid w:val="00ED5D4B"/>
    <w:rsid w:val="00ED62E8"/>
    <w:rsid w:val="00ED71F2"/>
    <w:rsid w:val="00ED7365"/>
    <w:rsid w:val="00ED7FF8"/>
    <w:rsid w:val="00EE1377"/>
    <w:rsid w:val="00EE1839"/>
    <w:rsid w:val="00EE32CD"/>
    <w:rsid w:val="00EE396D"/>
    <w:rsid w:val="00EE58E6"/>
    <w:rsid w:val="00EE5B1F"/>
    <w:rsid w:val="00EE755D"/>
    <w:rsid w:val="00EF141E"/>
    <w:rsid w:val="00EF1BFB"/>
    <w:rsid w:val="00EF28E5"/>
    <w:rsid w:val="00EF2EAF"/>
    <w:rsid w:val="00EF31CB"/>
    <w:rsid w:val="00EF3621"/>
    <w:rsid w:val="00EF4239"/>
    <w:rsid w:val="00EF6E8B"/>
    <w:rsid w:val="00EF6F5A"/>
    <w:rsid w:val="00EF78DE"/>
    <w:rsid w:val="00EF7F9A"/>
    <w:rsid w:val="00F03235"/>
    <w:rsid w:val="00F04D60"/>
    <w:rsid w:val="00F055B3"/>
    <w:rsid w:val="00F0628A"/>
    <w:rsid w:val="00F14782"/>
    <w:rsid w:val="00F1499F"/>
    <w:rsid w:val="00F15F8D"/>
    <w:rsid w:val="00F16D2A"/>
    <w:rsid w:val="00F20A31"/>
    <w:rsid w:val="00F21924"/>
    <w:rsid w:val="00F255CD"/>
    <w:rsid w:val="00F25DF7"/>
    <w:rsid w:val="00F30CFE"/>
    <w:rsid w:val="00F3391B"/>
    <w:rsid w:val="00F33B01"/>
    <w:rsid w:val="00F3472A"/>
    <w:rsid w:val="00F34993"/>
    <w:rsid w:val="00F34B38"/>
    <w:rsid w:val="00F36996"/>
    <w:rsid w:val="00F37A6D"/>
    <w:rsid w:val="00F41BE4"/>
    <w:rsid w:val="00F45A5B"/>
    <w:rsid w:val="00F45A77"/>
    <w:rsid w:val="00F53DAC"/>
    <w:rsid w:val="00F54041"/>
    <w:rsid w:val="00F5428C"/>
    <w:rsid w:val="00F550C9"/>
    <w:rsid w:val="00F601D5"/>
    <w:rsid w:val="00F60724"/>
    <w:rsid w:val="00F608C4"/>
    <w:rsid w:val="00F61B5C"/>
    <w:rsid w:val="00F621B2"/>
    <w:rsid w:val="00F62895"/>
    <w:rsid w:val="00F62A6B"/>
    <w:rsid w:val="00F631C8"/>
    <w:rsid w:val="00F638F5"/>
    <w:rsid w:val="00F63982"/>
    <w:rsid w:val="00F645C9"/>
    <w:rsid w:val="00F64925"/>
    <w:rsid w:val="00F64C6A"/>
    <w:rsid w:val="00F659A6"/>
    <w:rsid w:val="00F65CAC"/>
    <w:rsid w:val="00F66254"/>
    <w:rsid w:val="00F66C34"/>
    <w:rsid w:val="00F678F2"/>
    <w:rsid w:val="00F67BC1"/>
    <w:rsid w:val="00F70956"/>
    <w:rsid w:val="00F71555"/>
    <w:rsid w:val="00F730EC"/>
    <w:rsid w:val="00F73FB6"/>
    <w:rsid w:val="00F743E6"/>
    <w:rsid w:val="00F74AC9"/>
    <w:rsid w:val="00F74BA9"/>
    <w:rsid w:val="00F7622D"/>
    <w:rsid w:val="00F762CF"/>
    <w:rsid w:val="00F7778F"/>
    <w:rsid w:val="00F80666"/>
    <w:rsid w:val="00F81A97"/>
    <w:rsid w:val="00F81EAA"/>
    <w:rsid w:val="00F820E7"/>
    <w:rsid w:val="00F82D01"/>
    <w:rsid w:val="00F850DE"/>
    <w:rsid w:val="00F8571C"/>
    <w:rsid w:val="00F870C5"/>
    <w:rsid w:val="00F93FE0"/>
    <w:rsid w:val="00F947D0"/>
    <w:rsid w:val="00F94D62"/>
    <w:rsid w:val="00F95329"/>
    <w:rsid w:val="00F9589C"/>
    <w:rsid w:val="00F963CC"/>
    <w:rsid w:val="00F97120"/>
    <w:rsid w:val="00FA0A91"/>
    <w:rsid w:val="00FA1E7B"/>
    <w:rsid w:val="00FA2843"/>
    <w:rsid w:val="00FA301C"/>
    <w:rsid w:val="00FA3C3D"/>
    <w:rsid w:val="00FA5319"/>
    <w:rsid w:val="00FA70B4"/>
    <w:rsid w:val="00FB0A8C"/>
    <w:rsid w:val="00FB1372"/>
    <w:rsid w:val="00FB14DB"/>
    <w:rsid w:val="00FB2439"/>
    <w:rsid w:val="00FB2BD6"/>
    <w:rsid w:val="00FB44E5"/>
    <w:rsid w:val="00FB55A4"/>
    <w:rsid w:val="00FB6D2F"/>
    <w:rsid w:val="00FB6F0E"/>
    <w:rsid w:val="00FC5E05"/>
    <w:rsid w:val="00FC6E7D"/>
    <w:rsid w:val="00FC757B"/>
    <w:rsid w:val="00FC76A4"/>
    <w:rsid w:val="00FC7B8D"/>
    <w:rsid w:val="00FD01E2"/>
    <w:rsid w:val="00FD06EF"/>
    <w:rsid w:val="00FD2CE7"/>
    <w:rsid w:val="00FD371B"/>
    <w:rsid w:val="00FD4D4B"/>
    <w:rsid w:val="00FE389F"/>
    <w:rsid w:val="00FE3B2F"/>
    <w:rsid w:val="00FE404A"/>
    <w:rsid w:val="00FE4109"/>
    <w:rsid w:val="00FE432F"/>
    <w:rsid w:val="00FE45EF"/>
    <w:rsid w:val="00FE4F04"/>
    <w:rsid w:val="00FE5390"/>
    <w:rsid w:val="00FE551B"/>
    <w:rsid w:val="00FE6A6D"/>
    <w:rsid w:val="00FE7A38"/>
    <w:rsid w:val="00FF0A59"/>
    <w:rsid w:val="00FF0DB7"/>
    <w:rsid w:val="00FF1E65"/>
    <w:rsid w:val="00FF2133"/>
    <w:rsid w:val="00FF3027"/>
    <w:rsid w:val="00FF3267"/>
    <w:rsid w:val="00FF4220"/>
    <w:rsid w:val="00FF4BE7"/>
    <w:rsid w:val="00FF7597"/>
    <w:rsid w:val="01F96EC8"/>
    <w:rsid w:val="028719D0"/>
    <w:rsid w:val="029B75CA"/>
    <w:rsid w:val="02D8287B"/>
    <w:rsid w:val="02F01725"/>
    <w:rsid w:val="031C2553"/>
    <w:rsid w:val="033A25B1"/>
    <w:rsid w:val="03443858"/>
    <w:rsid w:val="035A307B"/>
    <w:rsid w:val="0362070F"/>
    <w:rsid w:val="03726617"/>
    <w:rsid w:val="038B058F"/>
    <w:rsid w:val="0399335C"/>
    <w:rsid w:val="03A644DC"/>
    <w:rsid w:val="03CF5E7E"/>
    <w:rsid w:val="03FB5299"/>
    <w:rsid w:val="04444A13"/>
    <w:rsid w:val="044C0B1D"/>
    <w:rsid w:val="04AF7112"/>
    <w:rsid w:val="04DF500F"/>
    <w:rsid w:val="04E64BF6"/>
    <w:rsid w:val="04FC6AE0"/>
    <w:rsid w:val="05123C0E"/>
    <w:rsid w:val="05133C75"/>
    <w:rsid w:val="051E25B2"/>
    <w:rsid w:val="057523EE"/>
    <w:rsid w:val="0582366F"/>
    <w:rsid w:val="058E5767"/>
    <w:rsid w:val="05987AE7"/>
    <w:rsid w:val="0624121E"/>
    <w:rsid w:val="06273CD6"/>
    <w:rsid w:val="0635691E"/>
    <w:rsid w:val="065822CA"/>
    <w:rsid w:val="066B5890"/>
    <w:rsid w:val="06DB1A08"/>
    <w:rsid w:val="07070EA5"/>
    <w:rsid w:val="07860BB0"/>
    <w:rsid w:val="079335E8"/>
    <w:rsid w:val="07FE4B64"/>
    <w:rsid w:val="08534C69"/>
    <w:rsid w:val="085B0C61"/>
    <w:rsid w:val="092959CA"/>
    <w:rsid w:val="098A46BA"/>
    <w:rsid w:val="0A4D0927"/>
    <w:rsid w:val="0A530F50"/>
    <w:rsid w:val="0A7C3C8A"/>
    <w:rsid w:val="0A8C7FBE"/>
    <w:rsid w:val="0A985D5F"/>
    <w:rsid w:val="0B3A7200"/>
    <w:rsid w:val="0BCF2858"/>
    <w:rsid w:val="0C64677F"/>
    <w:rsid w:val="0C69007D"/>
    <w:rsid w:val="0C6B18E3"/>
    <w:rsid w:val="0C8C1159"/>
    <w:rsid w:val="0D0560F5"/>
    <w:rsid w:val="0D2D06D9"/>
    <w:rsid w:val="0D305579"/>
    <w:rsid w:val="0D505C1B"/>
    <w:rsid w:val="0DF20A80"/>
    <w:rsid w:val="0E4214F1"/>
    <w:rsid w:val="0E924011"/>
    <w:rsid w:val="0EC3241C"/>
    <w:rsid w:val="0F183AD3"/>
    <w:rsid w:val="0F1D7D7F"/>
    <w:rsid w:val="0F3E72BB"/>
    <w:rsid w:val="10042CED"/>
    <w:rsid w:val="11286AF9"/>
    <w:rsid w:val="1215457F"/>
    <w:rsid w:val="121B7CCF"/>
    <w:rsid w:val="124D097B"/>
    <w:rsid w:val="12551F23"/>
    <w:rsid w:val="125D05FA"/>
    <w:rsid w:val="12810624"/>
    <w:rsid w:val="1300231C"/>
    <w:rsid w:val="135F2949"/>
    <w:rsid w:val="13B41C63"/>
    <w:rsid w:val="13FE1610"/>
    <w:rsid w:val="14884FA9"/>
    <w:rsid w:val="1540541D"/>
    <w:rsid w:val="15565967"/>
    <w:rsid w:val="16460E1F"/>
    <w:rsid w:val="169528F0"/>
    <w:rsid w:val="169725E3"/>
    <w:rsid w:val="178D35C8"/>
    <w:rsid w:val="1864257A"/>
    <w:rsid w:val="1880735D"/>
    <w:rsid w:val="189015C1"/>
    <w:rsid w:val="19467B43"/>
    <w:rsid w:val="195864CF"/>
    <w:rsid w:val="19A90B8D"/>
    <w:rsid w:val="1A602F0B"/>
    <w:rsid w:val="1ACE4623"/>
    <w:rsid w:val="1AF02DF1"/>
    <w:rsid w:val="1AF51BB0"/>
    <w:rsid w:val="1B414DF5"/>
    <w:rsid w:val="1BEB5A4F"/>
    <w:rsid w:val="1C4A047F"/>
    <w:rsid w:val="1C7D52CF"/>
    <w:rsid w:val="1C9378D2"/>
    <w:rsid w:val="1C9657E5"/>
    <w:rsid w:val="1D17405F"/>
    <w:rsid w:val="1D4D5CD3"/>
    <w:rsid w:val="1DA05AA4"/>
    <w:rsid w:val="1DDC7057"/>
    <w:rsid w:val="1E0345E3"/>
    <w:rsid w:val="1E3C392C"/>
    <w:rsid w:val="1E6312E8"/>
    <w:rsid w:val="1E676D64"/>
    <w:rsid w:val="1F1D250F"/>
    <w:rsid w:val="1F657590"/>
    <w:rsid w:val="1FE01B46"/>
    <w:rsid w:val="20387569"/>
    <w:rsid w:val="20BC5B4A"/>
    <w:rsid w:val="20BD3FB9"/>
    <w:rsid w:val="211E0F0D"/>
    <w:rsid w:val="225C361F"/>
    <w:rsid w:val="22AB3ABF"/>
    <w:rsid w:val="2302273A"/>
    <w:rsid w:val="23235776"/>
    <w:rsid w:val="23295E88"/>
    <w:rsid w:val="23307C29"/>
    <w:rsid w:val="233200D8"/>
    <w:rsid w:val="233A65B6"/>
    <w:rsid w:val="233B037C"/>
    <w:rsid w:val="2369138D"/>
    <w:rsid w:val="23940E02"/>
    <w:rsid w:val="23D5576A"/>
    <w:rsid w:val="23DA2AF1"/>
    <w:rsid w:val="2426102C"/>
    <w:rsid w:val="2432352D"/>
    <w:rsid w:val="245A0DBF"/>
    <w:rsid w:val="24823C47"/>
    <w:rsid w:val="25201F1F"/>
    <w:rsid w:val="254D7B4C"/>
    <w:rsid w:val="255D4DBB"/>
    <w:rsid w:val="256516E0"/>
    <w:rsid w:val="25A0311B"/>
    <w:rsid w:val="25F37777"/>
    <w:rsid w:val="25F80BEF"/>
    <w:rsid w:val="2604087D"/>
    <w:rsid w:val="260929B3"/>
    <w:rsid w:val="262729DB"/>
    <w:rsid w:val="265D08F5"/>
    <w:rsid w:val="26833736"/>
    <w:rsid w:val="26A3777A"/>
    <w:rsid w:val="26BE554B"/>
    <w:rsid w:val="270218C6"/>
    <w:rsid w:val="27102E5E"/>
    <w:rsid w:val="277327DA"/>
    <w:rsid w:val="27846795"/>
    <w:rsid w:val="27BF15AE"/>
    <w:rsid w:val="27E62FAC"/>
    <w:rsid w:val="27EB411E"/>
    <w:rsid w:val="280F46A2"/>
    <w:rsid w:val="287700A8"/>
    <w:rsid w:val="28F14AAA"/>
    <w:rsid w:val="296205E8"/>
    <w:rsid w:val="29903B9B"/>
    <w:rsid w:val="2A1536D4"/>
    <w:rsid w:val="2A187669"/>
    <w:rsid w:val="2A1F668A"/>
    <w:rsid w:val="2A69499D"/>
    <w:rsid w:val="2A73664D"/>
    <w:rsid w:val="2A834201"/>
    <w:rsid w:val="2B7C33F3"/>
    <w:rsid w:val="2B9E2BAB"/>
    <w:rsid w:val="2BD72A2F"/>
    <w:rsid w:val="2C091017"/>
    <w:rsid w:val="2C5A1EE9"/>
    <w:rsid w:val="2C7164A6"/>
    <w:rsid w:val="2D007763"/>
    <w:rsid w:val="2D3A1340"/>
    <w:rsid w:val="2D616B06"/>
    <w:rsid w:val="2DE81100"/>
    <w:rsid w:val="2DEF64CC"/>
    <w:rsid w:val="2DFE4FBF"/>
    <w:rsid w:val="2E717ACA"/>
    <w:rsid w:val="2ED74F49"/>
    <w:rsid w:val="2EF51D26"/>
    <w:rsid w:val="2EFC2F0B"/>
    <w:rsid w:val="2EFE0BDB"/>
    <w:rsid w:val="2F07146F"/>
    <w:rsid w:val="2F305F8A"/>
    <w:rsid w:val="2F3467D9"/>
    <w:rsid w:val="2F6259C4"/>
    <w:rsid w:val="2F827A5E"/>
    <w:rsid w:val="2F982E42"/>
    <w:rsid w:val="2FC20D6A"/>
    <w:rsid w:val="2FD61B58"/>
    <w:rsid w:val="302650B3"/>
    <w:rsid w:val="304F119F"/>
    <w:rsid w:val="3075353C"/>
    <w:rsid w:val="31063299"/>
    <w:rsid w:val="3161109D"/>
    <w:rsid w:val="31833929"/>
    <w:rsid w:val="31A70840"/>
    <w:rsid w:val="327E4671"/>
    <w:rsid w:val="32814119"/>
    <w:rsid w:val="32C91500"/>
    <w:rsid w:val="32DD31FD"/>
    <w:rsid w:val="32FF212E"/>
    <w:rsid w:val="33452B84"/>
    <w:rsid w:val="33604D90"/>
    <w:rsid w:val="337B4AD8"/>
    <w:rsid w:val="33E10EBA"/>
    <w:rsid w:val="341E3ACD"/>
    <w:rsid w:val="34264510"/>
    <w:rsid w:val="346239BA"/>
    <w:rsid w:val="34756830"/>
    <w:rsid w:val="34782C49"/>
    <w:rsid w:val="351110E2"/>
    <w:rsid w:val="3530593D"/>
    <w:rsid w:val="35713623"/>
    <w:rsid w:val="35731C8E"/>
    <w:rsid w:val="35A07995"/>
    <w:rsid w:val="36440851"/>
    <w:rsid w:val="365618E5"/>
    <w:rsid w:val="3697682E"/>
    <w:rsid w:val="36C344B8"/>
    <w:rsid w:val="36D72B72"/>
    <w:rsid w:val="36DA1DD6"/>
    <w:rsid w:val="36E8395A"/>
    <w:rsid w:val="379C3687"/>
    <w:rsid w:val="37EB3DB8"/>
    <w:rsid w:val="38663170"/>
    <w:rsid w:val="389C60A9"/>
    <w:rsid w:val="38D34E86"/>
    <w:rsid w:val="3A227D51"/>
    <w:rsid w:val="3A2F0615"/>
    <w:rsid w:val="3A683CF4"/>
    <w:rsid w:val="3B03797B"/>
    <w:rsid w:val="3B351E28"/>
    <w:rsid w:val="3BB83F2C"/>
    <w:rsid w:val="3BC367C1"/>
    <w:rsid w:val="3BE07A88"/>
    <w:rsid w:val="3C9450C1"/>
    <w:rsid w:val="3CA803D8"/>
    <w:rsid w:val="3D5F222C"/>
    <w:rsid w:val="3D6B7F55"/>
    <w:rsid w:val="3D805CA2"/>
    <w:rsid w:val="3DD27E02"/>
    <w:rsid w:val="3DF14808"/>
    <w:rsid w:val="3E8D3B5F"/>
    <w:rsid w:val="3EE03D50"/>
    <w:rsid w:val="3F0E2962"/>
    <w:rsid w:val="3F735C9E"/>
    <w:rsid w:val="401A15ED"/>
    <w:rsid w:val="402167DB"/>
    <w:rsid w:val="402C1320"/>
    <w:rsid w:val="40480AB6"/>
    <w:rsid w:val="40520794"/>
    <w:rsid w:val="40713249"/>
    <w:rsid w:val="40B94B83"/>
    <w:rsid w:val="41377F7D"/>
    <w:rsid w:val="413C5593"/>
    <w:rsid w:val="4151103E"/>
    <w:rsid w:val="416903A7"/>
    <w:rsid w:val="416C231C"/>
    <w:rsid w:val="418A496E"/>
    <w:rsid w:val="41AD023F"/>
    <w:rsid w:val="41B94863"/>
    <w:rsid w:val="41D53D0D"/>
    <w:rsid w:val="42F205FF"/>
    <w:rsid w:val="433A6730"/>
    <w:rsid w:val="43BA29DA"/>
    <w:rsid w:val="4469669F"/>
    <w:rsid w:val="44992D0F"/>
    <w:rsid w:val="44AE507F"/>
    <w:rsid w:val="44F543D6"/>
    <w:rsid w:val="46252A99"/>
    <w:rsid w:val="46B22E05"/>
    <w:rsid w:val="46E746AD"/>
    <w:rsid w:val="46F801AE"/>
    <w:rsid w:val="47350E6C"/>
    <w:rsid w:val="4755593A"/>
    <w:rsid w:val="47920C5A"/>
    <w:rsid w:val="47AA14A8"/>
    <w:rsid w:val="47D215BA"/>
    <w:rsid w:val="48330BA4"/>
    <w:rsid w:val="484C1412"/>
    <w:rsid w:val="485C6422"/>
    <w:rsid w:val="48684DC2"/>
    <w:rsid w:val="48D423AA"/>
    <w:rsid w:val="48EA489A"/>
    <w:rsid w:val="49064DD9"/>
    <w:rsid w:val="49455B97"/>
    <w:rsid w:val="49BD73EB"/>
    <w:rsid w:val="49FE5ADB"/>
    <w:rsid w:val="4A565917"/>
    <w:rsid w:val="4AAB04C6"/>
    <w:rsid w:val="4AB675C4"/>
    <w:rsid w:val="4B1E14E5"/>
    <w:rsid w:val="4B592EEF"/>
    <w:rsid w:val="4B785D74"/>
    <w:rsid w:val="4BE13907"/>
    <w:rsid w:val="4BF44DCB"/>
    <w:rsid w:val="4C32593C"/>
    <w:rsid w:val="4C891FD4"/>
    <w:rsid w:val="4C8D6025"/>
    <w:rsid w:val="4CAE18F7"/>
    <w:rsid w:val="4CDB2104"/>
    <w:rsid w:val="4CE62415"/>
    <w:rsid w:val="4D844CA2"/>
    <w:rsid w:val="4DF32114"/>
    <w:rsid w:val="4DF760BF"/>
    <w:rsid w:val="4E50267E"/>
    <w:rsid w:val="4E8A3F21"/>
    <w:rsid w:val="4ED17C62"/>
    <w:rsid w:val="4F025AF6"/>
    <w:rsid w:val="4F531A9B"/>
    <w:rsid w:val="4F5F211C"/>
    <w:rsid w:val="4F8E7901"/>
    <w:rsid w:val="4FD03A76"/>
    <w:rsid w:val="50D91050"/>
    <w:rsid w:val="5107796B"/>
    <w:rsid w:val="51121E6C"/>
    <w:rsid w:val="519B78A3"/>
    <w:rsid w:val="51C265BA"/>
    <w:rsid w:val="51DB4D42"/>
    <w:rsid w:val="51EB5B30"/>
    <w:rsid w:val="52CF3C7C"/>
    <w:rsid w:val="52DF4D0E"/>
    <w:rsid w:val="52E361B6"/>
    <w:rsid w:val="52EA7BC9"/>
    <w:rsid w:val="53157F45"/>
    <w:rsid w:val="536F35A6"/>
    <w:rsid w:val="53807561"/>
    <w:rsid w:val="53B97272"/>
    <w:rsid w:val="54136627"/>
    <w:rsid w:val="54B03E76"/>
    <w:rsid w:val="54C61014"/>
    <w:rsid w:val="55253D46"/>
    <w:rsid w:val="554379A2"/>
    <w:rsid w:val="55961E7F"/>
    <w:rsid w:val="55D20505"/>
    <w:rsid w:val="56504935"/>
    <w:rsid w:val="56B14DB5"/>
    <w:rsid w:val="56D46542"/>
    <w:rsid w:val="56E61DD1"/>
    <w:rsid w:val="576556E7"/>
    <w:rsid w:val="57D32DD0"/>
    <w:rsid w:val="582D08DF"/>
    <w:rsid w:val="588C6B97"/>
    <w:rsid w:val="58B32187"/>
    <w:rsid w:val="58CF63B2"/>
    <w:rsid w:val="59234368"/>
    <w:rsid w:val="59567CD3"/>
    <w:rsid w:val="59B960C5"/>
    <w:rsid w:val="59D2488F"/>
    <w:rsid w:val="59E6211E"/>
    <w:rsid w:val="5A527759"/>
    <w:rsid w:val="5A834B3B"/>
    <w:rsid w:val="5AAC2C1F"/>
    <w:rsid w:val="5B293C03"/>
    <w:rsid w:val="5B3062C7"/>
    <w:rsid w:val="5B98782B"/>
    <w:rsid w:val="5BE36B1B"/>
    <w:rsid w:val="5C076B8D"/>
    <w:rsid w:val="5C491F73"/>
    <w:rsid w:val="5C4A5F64"/>
    <w:rsid w:val="5C597F61"/>
    <w:rsid w:val="5C671565"/>
    <w:rsid w:val="5CCC18B7"/>
    <w:rsid w:val="5CDA33D6"/>
    <w:rsid w:val="5D800BB6"/>
    <w:rsid w:val="5D821CEB"/>
    <w:rsid w:val="5D970C35"/>
    <w:rsid w:val="5D9C5497"/>
    <w:rsid w:val="5E666035"/>
    <w:rsid w:val="5E762872"/>
    <w:rsid w:val="5E7D301B"/>
    <w:rsid w:val="5EAE58CA"/>
    <w:rsid w:val="5EC55E0B"/>
    <w:rsid w:val="5F542CA1"/>
    <w:rsid w:val="5F8F4557"/>
    <w:rsid w:val="5FA647F3"/>
    <w:rsid w:val="5FD053D7"/>
    <w:rsid w:val="5FD7374F"/>
    <w:rsid w:val="5FFB4B3F"/>
    <w:rsid w:val="609E3187"/>
    <w:rsid w:val="60A056E7"/>
    <w:rsid w:val="61897F29"/>
    <w:rsid w:val="620F51BF"/>
    <w:rsid w:val="626E50AF"/>
    <w:rsid w:val="62740BD9"/>
    <w:rsid w:val="62870A35"/>
    <w:rsid w:val="62A40357"/>
    <w:rsid w:val="63416D0D"/>
    <w:rsid w:val="63A807C2"/>
    <w:rsid w:val="63AD00BB"/>
    <w:rsid w:val="63D52F45"/>
    <w:rsid w:val="641649C3"/>
    <w:rsid w:val="64777082"/>
    <w:rsid w:val="64B96EE3"/>
    <w:rsid w:val="65321D1C"/>
    <w:rsid w:val="655F347A"/>
    <w:rsid w:val="6621372E"/>
    <w:rsid w:val="66285EA3"/>
    <w:rsid w:val="663F7966"/>
    <w:rsid w:val="66544CE6"/>
    <w:rsid w:val="6674653D"/>
    <w:rsid w:val="67461C8B"/>
    <w:rsid w:val="675B1D35"/>
    <w:rsid w:val="676B07FC"/>
    <w:rsid w:val="677D333A"/>
    <w:rsid w:val="67C33ACC"/>
    <w:rsid w:val="67CB129B"/>
    <w:rsid w:val="68326FEF"/>
    <w:rsid w:val="683729D8"/>
    <w:rsid w:val="685B7F95"/>
    <w:rsid w:val="686A0AB4"/>
    <w:rsid w:val="68A05C21"/>
    <w:rsid w:val="69075638"/>
    <w:rsid w:val="69B62273"/>
    <w:rsid w:val="6A1364D0"/>
    <w:rsid w:val="6A244C92"/>
    <w:rsid w:val="6A2D7FEB"/>
    <w:rsid w:val="6A511EFA"/>
    <w:rsid w:val="6A70612A"/>
    <w:rsid w:val="6A893DC5"/>
    <w:rsid w:val="6AB06526"/>
    <w:rsid w:val="6AC03BFA"/>
    <w:rsid w:val="6AD71D05"/>
    <w:rsid w:val="6B940A4D"/>
    <w:rsid w:val="6BC043B8"/>
    <w:rsid w:val="6BC43C59"/>
    <w:rsid w:val="6C67530A"/>
    <w:rsid w:val="6CD069BF"/>
    <w:rsid w:val="6D266F73"/>
    <w:rsid w:val="6DBB5A86"/>
    <w:rsid w:val="6DF14A1F"/>
    <w:rsid w:val="6DF9765E"/>
    <w:rsid w:val="6E8B016D"/>
    <w:rsid w:val="6EB6584E"/>
    <w:rsid w:val="6F3040D9"/>
    <w:rsid w:val="6F424616"/>
    <w:rsid w:val="6FB6182B"/>
    <w:rsid w:val="6FB619CF"/>
    <w:rsid w:val="6FDD7DBD"/>
    <w:rsid w:val="70730722"/>
    <w:rsid w:val="7086142A"/>
    <w:rsid w:val="709B37D5"/>
    <w:rsid w:val="70CE2DB0"/>
    <w:rsid w:val="716F6651"/>
    <w:rsid w:val="717B788E"/>
    <w:rsid w:val="71BB2702"/>
    <w:rsid w:val="71BC3A02"/>
    <w:rsid w:val="72197FE1"/>
    <w:rsid w:val="725D01F5"/>
    <w:rsid w:val="726A6633"/>
    <w:rsid w:val="72833BB1"/>
    <w:rsid w:val="73661E78"/>
    <w:rsid w:val="742F2BB2"/>
    <w:rsid w:val="746A273C"/>
    <w:rsid w:val="74C0380A"/>
    <w:rsid w:val="7505543D"/>
    <w:rsid w:val="752A4247"/>
    <w:rsid w:val="757C1E26"/>
    <w:rsid w:val="75D22519"/>
    <w:rsid w:val="76200A04"/>
    <w:rsid w:val="76362EA6"/>
    <w:rsid w:val="763F2064"/>
    <w:rsid w:val="76AA651F"/>
    <w:rsid w:val="76AF1D88"/>
    <w:rsid w:val="7717074A"/>
    <w:rsid w:val="77302EC9"/>
    <w:rsid w:val="77456248"/>
    <w:rsid w:val="77693369"/>
    <w:rsid w:val="778B00FF"/>
    <w:rsid w:val="77C17FC5"/>
    <w:rsid w:val="77CC339C"/>
    <w:rsid w:val="77EA751B"/>
    <w:rsid w:val="77EF1299"/>
    <w:rsid w:val="7836450F"/>
    <w:rsid w:val="78424A1E"/>
    <w:rsid w:val="78880AE2"/>
    <w:rsid w:val="78957090"/>
    <w:rsid w:val="78B6564F"/>
    <w:rsid w:val="78D46652"/>
    <w:rsid w:val="78DC2D40"/>
    <w:rsid w:val="791C1087"/>
    <w:rsid w:val="791E7113"/>
    <w:rsid w:val="79501600"/>
    <w:rsid w:val="79582968"/>
    <w:rsid w:val="799E680F"/>
    <w:rsid w:val="79CB512B"/>
    <w:rsid w:val="79DE272E"/>
    <w:rsid w:val="7A615AB0"/>
    <w:rsid w:val="7A826E2D"/>
    <w:rsid w:val="7B051D26"/>
    <w:rsid w:val="7B637F83"/>
    <w:rsid w:val="7BDB6356"/>
    <w:rsid w:val="7C1914FD"/>
    <w:rsid w:val="7C296138"/>
    <w:rsid w:val="7C9537CE"/>
    <w:rsid w:val="7C9E2682"/>
    <w:rsid w:val="7CE02C9B"/>
    <w:rsid w:val="7CE509D0"/>
    <w:rsid w:val="7CEE32FF"/>
    <w:rsid w:val="7DDA593C"/>
    <w:rsid w:val="7DF67D98"/>
    <w:rsid w:val="7DFA7D8C"/>
    <w:rsid w:val="7E1F7CFC"/>
    <w:rsid w:val="7E2B33C0"/>
    <w:rsid w:val="7ED14F91"/>
    <w:rsid w:val="7EE7641A"/>
    <w:rsid w:val="7EFB200E"/>
    <w:rsid w:val="7F2F7F0A"/>
    <w:rsid w:val="7F673200"/>
    <w:rsid w:val="7F912972"/>
    <w:rsid w:val="7FCD6999"/>
    <w:rsid w:val="7FD341FD"/>
    <w:rsid w:val="7FF1341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0"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qFormat="1" w:uiPriority="99" w:name="table of authorities" w:locked="1"/>
    <w:lsdException w:uiPriority="99" w:name="macro" w:locked="1"/>
    <w:lsdException w:unhideWhenUsed="0" w:uiPriority="0" w:semiHidden="0"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0" w:semiHidden="0" w:name="Date"/>
    <w:lsdException w:qFormat="1" w:unhideWhenUsed="0" w:uiPriority="0" w:semiHidden="0" w:name="Body Text First Indent"/>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nhideWhenUsed="0" w:uiPriority="0" w:semiHidden="0" w:name="Body Text Indent 2"/>
    <w:lsdException w:unhideWhenUsed="0" w:uiPriority="0" w:semiHidden="0" w:name="Body Text Indent 3"/>
    <w:lsdException w:uiPriority="99" w:name="Block Text" w:locked="1"/>
    <w:lsdException w:qFormat="1" w:unhideWhenUsed="0" w:uiPriority="99" w:semiHidden="0" w:name="Hyperlink"/>
    <w:lsdException w:qFormat="1" w:uiPriority="99" w:name="FollowedHyperlink" w:locked="1"/>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ocked="1"/>
    <w:lsdException w:qFormat="1" w:unhideWhenUsed="0" w:uiPriority="0"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qFormat="1" w:uiPriority="99" w:name="HTML Typewriter" w:locked="1"/>
    <w:lsdException w:qFormat="1" w:uiPriority="99" w:name="HTML Variable" w:locked="1"/>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3"/>
    <w:qFormat/>
    <w:uiPriority w:val="99"/>
    <w:pPr>
      <w:keepNext/>
      <w:outlineLvl w:val="0"/>
    </w:pPr>
    <w:rPr>
      <w:rFonts w:ascii="宋体"/>
      <w:sz w:val="28"/>
    </w:rPr>
  </w:style>
  <w:style w:type="paragraph" w:styleId="5">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5"/>
    <w:qFormat/>
    <w:uiPriority w:val="9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420" w:firstLineChars="100"/>
    </w:pPr>
  </w:style>
  <w:style w:type="paragraph" w:styleId="7">
    <w:name w:val="table of authorities"/>
    <w:basedOn w:val="1"/>
    <w:next w:val="1"/>
    <w:semiHidden/>
    <w:unhideWhenUsed/>
    <w:qFormat/>
    <w:locked/>
    <w:uiPriority w:val="99"/>
    <w:pPr>
      <w:ind w:left="420" w:leftChars="200"/>
    </w:pPr>
  </w:style>
  <w:style w:type="paragraph" w:styleId="8">
    <w:name w:val="Body Text Indent"/>
    <w:basedOn w:val="1"/>
    <w:next w:val="1"/>
    <w:qFormat/>
    <w:locked/>
    <w:uiPriority w:val="0"/>
    <w:pPr>
      <w:autoSpaceDE w:val="0"/>
      <w:autoSpaceDN w:val="0"/>
      <w:adjustRightInd w:val="0"/>
      <w:spacing w:line="360" w:lineRule="auto"/>
      <w:ind w:firstLine="480"/>
      <w:jc w:val="left"/>
    </w:pPr>
    <w:rPr>
      <w:rFonts w:ascii="宋体" w:hAnsi="宋体"/>
      <w:kern w:val="0"/>
      <w:sz w:val="24"/>
    </w:rPr>
  </w:style>
  <w:style w:type="paragraph" w:styleId="9">
    <w:name w:val="toc 3"/>
    <w:basedOn w:val="1"/>
    <w:next w:val="1"/>
    <w:qFormat/>
    <w:uiPriority w:val="39"/>
    <w:pPr>
      <w:ind w:left="840" w:leftChars="400"/>
    </w:pPr>
    <w:rPr>
      <w:rFonts w:eastAsia="仿宋"/>
    </w:rPr>
  </w:style>
  <w:style w:type="paragraph" w:styleId="10">
    <w:name w:val="Balloon Text"/>
    <w:basedOn w:val="1"/>
    <w:link w:val="52"/>
    <w:qFormat/>
    <w:uiPriority w:val="0"/>
    <w:rPr>
      <w:sz w:val="18"/>
      <w:szCs w:val="18"/>
    </w:rPr>
  </w:style>
  <w:style w:type="paragraph" w:styleId="11">
    <w:name w:val="footer"/>
    <w:basedOn w:val="1"/>
    <w:link w:val="48"/>
    <w:qFormat/>
    <w:uiPriority w:val="99"/>
    <w:pPr>
      <w:tabs>
        <w:tab w:val="center" w:pos="4153"/>
        <w:tab w:val="right" w:pos="8306"/>
      </w:tabs>
      <w:snapToGrid w:val="0"/>
      <w:jc w:val="left"/>
    </w:pPr>
    <w:rPr>
      <w:sz w:val="18"/>
      <w:szCs w:val="18"/>
    </w:rPr>
  </w:style>
  <w:style w:type="paragraph" w:styleId="12">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rPr>
      <w:rFonts w:eastAsia="仿宋"/>
    </w:rPr>
  </w:style>
  <w:style w:type="paragraph" w:styleId="14">
    <w:name w:val="toc 2"/>
    <w:basedOn w:val="1"/>
    <w:next w:val="1"/>
    <w:qFormat/>
    <w:uiPriority w:val="39"/>
    <w:pPr>
      <w:ind w:left="420" w:leftChars="200"/>
    </w:pPr>
    <w:rPr>
      <w:rFonts w:eastAsia="仿宋"/>
    </w:rPr>
  </w:style>
  <w:style w:type="paragraph" w:styleId="15">
    <w:name w:val="Normal (Web)"/>
    <w:basedOn w:val="1"/>
    <w:qFormat/>
    <w:uiPriority w:val="0"/>
    <w:pPr>
      <w:spacing w:beforeAutospacing="1" w:afterAutospacing="1"/>
      <w:jc w:val="left"/>
    </w:pPr>
    <w:rPr>
      <w:kern w:val="0"/>
      <w:sz w:val="24"/>
    </w:rPr>
  </w:style>
  <w:style w:type="paragraph" w:styleId="16">
    <w:name w:val="Body Text First Indent 2"/>
    <w:basedOn w:val="8"/>
    <w:qFormat/>
    <w:locked/>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locked/>
    <w:uiPriority w:val="22"/>
    <w:rPr>
      <w:b/>
      <w:bCs/>
    </w:rPr>
  </w:style>
  <w:style w:type="character" w:styleId="21">
    <w:name w:val="page number"/>
    <w:qFormat/>
    <w:uiPriority w:val="0"/>
  </w:style>
  <w:style w:type="character" w:styleId="22">
    <w:name w:val="FollowedHyperlink"/>
    <w:basedOn w:val="19"/>
    <w:semiHidden/>
    <w:unhideWhenUsed/>
    <w:qFormat/>
    <w:locked/>
    <w:uiPriority w:val="99"/>
    <w:rPr>
      <w:color w:val="800080"/>
      <w:u w:val="none"/>
    </w:rPr>
  </w:style>
  <w:style w:type="character" w:styleId="23">
    <w:name w:val="Emphasis"/>
    <w:basedOn w:val="19"/>
    <w:qFormat/>
    <w:locked/>
    <w:uiPriority w:val="20"/>
    <w:rPr>
      <w:b/>
      <w:bCs/>
    </w:rPr>
  </w:style>
  <w:style w:type="character" w:styleId="24">
    <w:name w:val="HTML Definition"/>
    <w:basedOn w:val="19"/>
    <w:semiHidden/>
    <w:unhideWhenUsed/>
    <w:qFormat/>
    <w:locked/>
    <w:uiPriority w:val="99"/>
  </w:style>
  <w:style w:type="character" w:styleId="25">
    <w:name w:val="HTML Typewriter"/>
    <w:basedOn w:val="19"/>
    <w:semiHidden/>
    <w:unhideWhenUsed/>
    <w:qFormat/>
    <w:locked/>
    <w:uiPriority w:val="99"/>
    <w:rPr>
      <w:rFonts w:hint="default" w:ascii="monospace" w:hAnsi="monospace" w:eastAsia="monospace" w:cs="monospace"/>
      <w:sz w:val="20"/>
    </w:rPr>
  </w:style>
  <w:style w:type="character" w:styleId="26">
    <w:name w:val="HTML Acronym"/>
    <w:basedOn w:val="19"/>
    <w:semiHidden/>
    <w:unhideWhenUsed/>
    <w:qFormat/>
    <w:locked/>
    <w:uiPriority w:val="99"/>
  </w:style>
  <w:style w:type="character" w:styleId="27">
    <w:name w:val="HTML Variable"/>
    <w:basedOn w:val="19"/>
    <w:semiHidden/>
    <w:unhideWhenUsed/>
    <w:qFormat/>
    <w:locked/>
    <w:uiPriority w:val="99"/>
  </w:style>
  <w:style w:type="character" w:styleId="28">
    <w:name w:val="Hyperlink"/>
    <w:basedOn w:val="19"/>
    <w:qFormat/>
    <w:uiPriority w:val="99"/>
    <w:rPr>
      <w:color w:val="0000FF"/>
      <w:u w:val="none"/>
    </w:rPr>
  </w:style>
  <w:style w:type="character" w:styleId="29">
    <w:name w:val="HTML Code"/>
    <w:basedOn w:val="19"/>
    <w:semiHidden/>
    <w:unhideWhenUsed/>
    <w:qFormat/>
    <w:locked/>
    <w:uiPriority w:val="99"/>
    <w:rPr>
      <w:rFonts w:hint="default" w:ascii="monospace" w:hAnsi="monospace" w:eastAsia="monospace" w:cs="monospace"/>
      <w:sz w:val="20"/>
    </w:rPr>
  </w:style>
  <w:style w:type="character" w:styleId="30">
    <w:name w:val="HTML Cite"/>
    <w:basedOn w:val="19"/>
    <w:semiHidden/>
    <w:unhideWhenUsed/>
    <w:qFormat/>
    <w:locked/>
    <w:uiPriority w:val="99"/>
  </w:style>
  <w:style w:type="character" w:styleId="31">
    <w:name w:val="HTML Keyboard"/>
    <w:basedOn w:val="19"/>
    <w:semiHidden/>
    <w:unhideWhenUsed/>
    <w:qFormat/>
    <w:locked/>
    <w:uiPriority w:val="99"/>
    <w:rPr>
      <w:rFonts w:ascii="monospace" w:hAnsi="monospace" w:eastAsia="monospace" w:cs="monospace"/>
      <w:sz w:val="20"/>
    </w:rPr>
  </w:style>
  <w:style w:type="character" w:styleId="32">
    <w:name w:val="HTML Sample"/>
    <w:basedOn w:val="19"/>
    <w:semiHidden/>
    <w:unhideWhenUsed/>
    <w:qFormat/>
    <w:locked/>
    <w:uiPriority w:val="99"/>
    <w:rPr>
      <w:rFonts w:hint="default" w:ascii="monospace" w:hAnsi="monospace" w:eastAsia="monospace" w:cs="monospace"/>
    </w:rPr>
  </w:style>
  <w:style w:type="character" w:customStyle="1" w:styleId="33">
    <w:name w:val="标题 1 Char"/>
    <w:basedOn w:val="19"/>
    <w:link w:val="4"/>
    <w:qFormat/>
    <w:locked/>
    <w:uiPriority w:val="99"/>
    <w:rPr>
      <w:rFonts w:ascii="宋体" w:cs="Times New Roman"/>
      <w:kern w:val="2"/>
      <w:sz w:val="28"/>
    </w:rPr>
  </w:style>
  <w:style w:type="character" w:customStyle="1" w:styleId="34">
    <w:name w:val="标题 2 Char"/>
    <w:basedOn w:val="19"/>
    <w:link w:val="5"/>
    <w:semiHidden/>
    <w:qFormat/>
    <w:locked/>
    <w:uiPriority w:val="99"/>
    <w:rPr>
      <w:rFonts w:ascii="Cambria" w:hAnsi="Cambria" w:eastAsia="宋体" w:cs="Times New Roman"/>
      <w:b/>
      <w:bCs/>
      <w:sz w:val="32"/>
      <w:szCs w:val="32"/>
    </w:rPr>
  </w:style>
  <w:style w:type="character" w:customStyle="1" w:styleId="35">
    <w:name w:val="标题 3 Char"/>
    <w:basedOn w:val="19"/>
    <w:link w:val="6"/>
    <w:semiHidden/>
    <w:qFormat/>
    <w:locked/>
    <w:uiPriority w:val="99"/>
    <w:rPr>
      <w:rFonts w:cs="Times New Roman"/>
      <w:b/>
      <w:bCs/>
      <w:sz w:val="32"/>
      <w:szCs w:val="32"/>
    </w:rPr>
  </w:style>
  <w:style w:type="paragraph" w:customStyle="1" w:styleId="36">
    <w:name w:val="1文件名"/>
    <w:basedOn w:val="1"/>
    <w:qFormat/>
    <w:uiPriority w:val="0"/>
    <w:pPr>
      <w:snapToGrid w:val="0"/>
      <w:spacing w:line="360" w:lineRule="auto"/>
      <w:jc w:val="center"/>
    </w:pPr>
    <w:rPr>
      <w:rFonts w:hint="eastAsia" w:ascii="仿宋" w:hAnsi="仿宋" w:eastAsia="仿宋" w:cs="仿宋"/>
      <w:sz w:val="80"/>
      <w:szCs w:val="80"/>
    </w:rPr>
  </w:style>
  <w:style w:type="paragraph" w:customStyle="1" w:styleId="37">
    <w:name w:val="2项目名称、编号"/>
    <w:basedOn w:val="1"/>
    <w:qFormat/>
    <w:uiPriority w:val="0"/>
    <w:pPr>
      <w:ind w:firstLine="1285" w:firstLineChars="400"/>
    </w:pPr>
    <w:rPr>
      <w:rFonts w:hint="eastAsia" w:ascii="仿宋" w:hAnsi="仿宋" w:eastAsia="仿宋" w:cs="仿宋"/>
      <w:b/>
      <w:bCs/>
      <w:sz w:val="32"/>
    </w:rPr>
  </w:style>
  <w:style w:type="paragraph" w:customStyle="1" w:styleId="38">
    <w:name w:val="3公司名"/>
    <w:basedOn w:val="1"/>
    <w:qFormat/>
    <w:uiPriority w:val="0"/>
    <w:pPr>
      <w:spacing w:line="480" w:lineRule="auto"/>
      <w:jc w:val="center"/>
    </w:pPr>
    <w:rPr>
      <w:rFonts w:hint="eastAsia" w:ascii="仿宋" w:hAnsi="仿宋" w:eastAsia="仿宋" w:cs="仿宋"/>
      <w:b/>
      <w:sz w:val="36"/>
    </w:rPr>
  </w:style>
  <w:style w:type="paragraph" w:customStyle="1" w:styleId="39">
    <w:name w:val="4目录"/>
    <w:basedOn w:val="1"/>
    <w:qFormat/>
    <w:uiPriority w:val="0"/>
    <w:pPr>
      <w:spacing w:line="480" w:lineRule="auto"/>
      <w:jc w:val="center"/>
    </w:pPr>
    <w:rPr>
      <w:rFonts w:hint="eastAsia" w:ascii="仿宋" w:hAnsi="仿宋" w:eastAsia="仿宋" w:cs="仿宋"/>
      <w:bCs/>
      <w:sz w:val="52"/>
    </w:rPr>
  </w:style>
  <w:style w:type="paragraph" w:customStyle="1" w:styleId="40">
    <w:name w:val="5一级标题"/>
    <w:basedOn w:val="7"/>
    <w:qFormat/>
    <w:uiPriority w:val="0"/>
    <w:pPr>
      <w:tabs>
        <w:tab w:val="right" w:leader="dot" w:pos="9913"/>
      </w:tabs>
      <w:spacing w:line="360" w:lineRule="auto"/>
      <w:ind w:left="0" w:leftChars="0"/>
      <w:jc w:val="center"/>
      <w:outlineLvl w:val="0"/>
    </w:pPr>
    <w:rPr>
      <w:rFonts w:hint="eastAsia" w:ascii="仿宋" w:hAnsi="仿宋" w:eastAsia="仿宋" w:cs="仿宋"/>
      <w:b/>
      <w:bCs/>
      <w:sz w:val="32"/>
    </w:rPr>
  </w:style>
  <w:style w:type="paragraph" w:customStyle="1" w:styleId="41">
    <w:name w:val="6二级标题-居左"/>
    <w:basedOn w:val="1"/>
    <w:next w:val="1"/>
    <w:qFormat/>
    <w:uiPriority w:val="0"/>
    <w:pPr>
      <w:keepNext/>
      <w:keepLines/>
      <w:spacing w:before="100" w:beforeLines="100" w:line="360" w:lineRule="auto"/>
      <w:ind w:firstLine="482" w:firstLineChars="200"/>
      <w:outlineLvl w:val="1"/>
    </w:pPr>
    <w:rPr>
      <w:rFonts w:hint="eastAsia" w:ascii="仿宋" w:hAnsi="仿宋" w:eastAsia="仿宋" w:cs="仿宋"/>
      <w:b/>
      <w:sz w:val="24"/>
      <w:szCs w:val="24"/>
    </w:rPr>
  </w:style>
  <w:style w:type="paragraph" w:customStyle="1" w:styleId="42">
    <w:name w:val="6二级标题-居中"/>
    <w:basedOn w:val="1"/>
    <w:next w:val="1"/>
    <w:qFormat/>
    <w:uiPriority w:val="0"/>
    <w:pPr>
      <w:keepNext/>
      <w:keepLines/>
      <w:spacing w:before="100" w:beforeLines="100" w:line="360" w:lineRule="auto"/>
      <w:jc w:val="center"/>
      <w:outlineLvl w:val="1"/>
    </w:pPr>
    <w:rPr>
      <w:rFonts w:hint="eastAsia" w:ascii="仿宋" w:hAnsi="仿宋" w:eastAsia="仿宋" w:cs="仿宋"/>
      <w:b/>
      <w:bCs/>
      <w:sz w:val="24"/>
      <w:szCs w:val="24"/>
    </w:rPr>
  </w:style>
  <w:style w:type="paragraph" w:customStyle="1" w:styleId="43">
    <w:name w:val="7三级标题-居左1"/>
    <w:basedOn w:val="1"/>
    <w:qFormat/>
    <w:uiPriority w:val="0"/>
    <w:pPr>
      <w:adjustRightInd w:val="0"/>
      <w:snapToGrid w:val="0"/>
      <w:spacing w:before="100" w:beforeLines="100" w:line="360" w:lineRule="auto"/>
      <w:outlineLvl w:val="2"/>
    </w:pPr>
    <w:rPr>
      <w:rFonts w:hint="eastAsia" w:ascii="仿宋" w:hAnsi="仿宋" w:eastAsia="仿宋" w:cs="仿宋"/>
      <w:b/>
      <w:bCs/>
      <w:sz w:val="24"/>
      <w:szCs w:val="24"/>
    </w:rPr>
  </w:style>
  <w:style w:type="paragraph" w:customStyle="1" w:styleId="44">
    <w:name w:val="6二级标题-居左-不上目录"/>
    <w:basedOn w:val="1"/>
    <w:qFormat/>
    <w:uiPriority w:val="0"/>
    <w:pPr>
      <w:keepNext/>
      <w:keepLines/>
      <w:spacing w:before="100" w:beforeLines="100" w:line="360" w:lineRule="auto"/>
      <w:ind w:firstLine="482" w:firstLineChars="200"/>
    </w:pPr>
    <w:rPr>
      <w:rFonts w:hint="eastAsia" w:ascii="仿宋" w:hAnsi="仿宋" w:eastAsia="仿宋" w:cs="仿宋"/>
      <w:b/>
      <w:sz w:val="24"/>
      <w:szCs w:val="24"/>
    </w:rPr>
  </w:style>
  <w:style w:type="paragraph" w:customStyle="1" w:styleId="45">
    <w:name w:val="8正文"/>
    <w:basedOn w:val="1"/>
    <w:qFormat/>
    <w:uiPriority w:val="0"/>
    <w:pPr>
      <w:spacing w:line="360" w:lineRule="auto"/>
      <w:ind w:firstLine="480" w:firstLineChars="200"/>
    </w:pPr>
    <w:rPr>
      <w:rFonts w:hint="eastAsia" w:ascii="仿宋" w:hAnsi="仿宋" w:eastAsia="仿宋" w:cs="仿宋"/>
      <w:sz w:val="24"/>
      <w:szCs w:val="24"/>
    </w:rPr>
  </w:style>
  <w:style w:type="character" w:customStyle="1" w:styleId="46">
    <w:name w:val="mini-outputtext1"/>
    <w:basedOn w:val="19"/>
    <w:qFormat/>
    <w:uiPriority w:val="0"/>
  </w:style>
  <w:style w:type="character" w:customStyle="1" w:styleId="47">
    <w:name w:val="页眉 Char"/>
    <w:basedOn w:val="19"/>
    <w:link w:val="12"/>
    <w:qFormat/>
    <w:uiPriority w:val="99"/>
    <w:rPr>
      <w:kern w:val="2"/>
      <w:sz w:val="18"/>
      <w:szCs w:val="18"/>
    </w:rPr>
  </w:style>
  <w:style w:type="character" w:customStyle="1" w:styleId="48">
    <w:name w:val="页脚 Char"/>
    <w:basedOn w:val="19"/>
    <w:link w:val="11"/>
    <w:qFormat/>
    <w:uiPriority w:val="99"/>
    <w:rPr>
      <w:kern w:val="2"/>
      <w:sz w:val="18"/>
      <w:szCs w:val="18"/>
    </w:rPr>
  </w:style>
  <w:style w:type="paragraph" w:customStyle="1" w:styleId="4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0">
    <w:name w:val="标题 2 字符"/>
    <w:qFormat/>
    <w:uiPriority w:val="0"/>
    <w:rPr>
      <w:rFonts w:ascii="Arial" w:hAnsi="Arial" w:eastAsia="黑体"/>
      <w:b/>
      <w:bCs/>
      <w:kern w:val="2"/>
      <w:sz w:val="32"/>
      <w:szCs w:val="32"/>
    </w:rPr>
  </w:style>
  <w:style w:type="paragraph" w:styleId="5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52">
    <w:name w:val="批注框文本 Char"/>
    <w:basedOn w:val="19"/>
    <w:link w:val="10"/>
    <w:qFormat/>
    <w:uiPriority w:val="0"/>
    <w:rPr>
      <w:kern w:val="2"/>
      <w:sz w:val="18"/>
      <w:szCs w:val="18"/>
    </w:rPr>
  </w:style>
  <w:style w:type="paragraph" w:customStyle="1" w:styleId="53">
    <w:name w:val="Body text|1"/>
    <w:basedOn w:val="1"/>
    <w:qFormat/>
    <w:uiPriority w:val="0"/>
    <w:pPr>
      <w:kinsoku w:val="0"/>
      <w:autoSpaceDE w:val="0"/>
      <w:autoSpaceDN w:val="0"/>
      <w:adjustRightInd w:val="0"/>
      <w:snapToGrid w:val="0"/>
      <w:spacing w:line="432" w:lineRule="auto"/>
      <w:ind w:firstLine="400"/>
      <w:jc w:val="left"/>
      <w:textAlignment w:val="baseline"/>
    </w:pPr>
    <w:rPr>
      <w:rFonts w:ascii="宋体" w:hAnsi="宋体" w:cs="宋体"/>
      <w:snapToGrid w:val="0"/>
      <w:color w:val="000000"/>
      <w:kern w:val="0"/>
      <w:sz w:val="30"/>
      <w:szCs w:val="30"/>
      <w:lang w:val="zh-TW" w:eastAsia="zh-TW" w:bidi="zh-TW"/>
    </w:rPr>
  </w:style>
  <w:style w:type="paragraph" w:customStyle="1" w:styleId="54">
    <w:name w:val="Body text|2"/>
    <w:basedOn w:val="1"/>
    <w:qFormat/>
    <w:uiPriority w:val="0"/>
    <w:pPr>
      <w:kinsoku w:val="0"/>
      <w:autoSpaceDE w:val="0"/>
      <w:autoSpaceDN w:val="0"/>
      <w:adjustRightInd w:val="0"/>
      <w:snapToGrid w:val="0"/>
      <w:jc w:val="left"/>
      <w:textAlignment w:val="baseline"/>
    </w:pPr>
    <w:rPr>
      <w:rFonts w:ascii="宋体" w:hAnsi="宋体" w:cs="宋体"/>
      <w:snapToGrid w:val="0"/>
      <w:color w:val="000000"/>
      <w:kern w:val="0"/>
      <w:sz w:val="26"/>
      <w:szCs w:val="26"/>
      <w:lang w:val="zh-TW" w:eastAsia="zh-TW" w:bidi="zh-TW"/>
    </w:rPr>
  </w:style>
  <w:style w:type="character" w:customStyle="1" w:styleId="55">
    <w:name w:val="font81"/>
    <w:basedOn w:val="19"/>
    <w:qFormat/>
    <w:uiPriority w:val="0"/>
    <w:rPr>
      <w:rFonts w:hint="eastAsia" w:ascii="宋体" w:hAnsi="宋体" w:eastAsia="宋体" w:cs="宋体"/>
      <w:color w:val="000000"/>
      <w:sz w:val="24"/>
      <w:szCs w:val="24"/>
      <w:u w:val="none"/>
    </w:rPr>
  </w:style>
  <w:style w:type="character" w:customStyle="1" w:styleId="56">
    <w:name w:val="font141"/>
    <w:basedOn w:val="19"/>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97B75-6588-4B19-B0FA-80044B6E155F}">
  <ds:schemaRefs/>
</ds:datastoreItem>
</file>

<file path=docProps/app.xml><?xml version="1.0" encoding="utf-8"?>
<Properties xmlns="http://schemas.openxmlformats.org/officeDocument/2006/extended-properties" xmlns:vt="http://schemas.openxmlformats.org/officeDocument/2006/docPropsVTypes">
  <Template>Normal</Template>
  <Company>江西省机电设备招标公司</Company>
  <Pages>40</Pages>
  <Words>15137</Words>
  <Characters>16099</Characters>
  <Lines>76</Lines>
  <Paragraphs>62</Paragraphs>
  <TotalTime>0</TotalTime>
  <ScaleCrop>false</ScaleCrop>
  <LinksUpToDate>false</LinksUpToDate>
  <CharactersWithSpaces>16660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2024-12-13T10:57:00Z</dcterms:created>
  <dc:creator>hxw</dc:creator>
  <cp:lastModifiedBy>Jingjing</cp:lastModifiedBy>
  <cp:lastPrinted>2025-01-02T06:45:00Z</cp:lastPrinted>
  <dcterms:modified xsi:type="dcterms:W3CDTF">2025-11-24T06:12:53Z</dcterms:modified>
  <dc:title>竞争性谈判文件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033537D8217C4B9387531F609286398B_13</vt:lpwstr>
  </property>
  <property fmtid="{D5CDD505-2E9C-101B-9397-08002B2CF9AE}" pid="4" name="KSOTemplateDocerSaveRecord">
    <vt:lpwstr>eyJoZGlkIjoiMzEwNTM5NzYwMDRjMzkwZTVkZjY2ODkwMGIxNGU0OTUiLCJ1c2VySWQiOiI4NTQzMjA5MjgifQ==</vt:lpwstr>
  </property>
</Properties>
</file>